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March 24, 2026</w:t>
      </w:r>
    </w:p>
    <w:p>
      <w:pPr>
        <w:spacing w:after="0" w:line="26" w:lineRule="exact"/>
        <w:rPr>
          <w:sz w:val="24"/>
          <w:szCs w:val="24"/>
          <w:color w:val="auto"/>
        </w:rPr>
      </w:pPr>
    </w:p>
    <w:p>
      <w:pPr>
        <w:ind w:left="982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716089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203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81280</wp:posOffset>
            </wp:positionV>
            <wp:extent cx="71608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316" w:lineRule="exact"/>
        <w:rPr>
          <w:sz w:val="24"/>
          <w:szCs w:val="24"/>
          <w:color w:val="auto"/>
        </w:rPr>
      </w:pPr>
    </w:p>
    <w:tbl>
      <w:tblPr>
        <w:tblLayout w:type="fixed"/>
        <w:tblInd w:w="1900" w:type="dxa"/>
        <w:tblCellMar>
          <w:top w:w="0" w:type="dxa"/>
          <w:left w:w="0" w:type="dxa"/>
          <w:bottom w:w="0" w:type="dxa"/>
          <w:right w:w="0" w:type="dxa"/>
        </w:tblCellMar>
      </w:tblPr>
      <w:tr>
        <w:trPr>
          <w:trHeight w:val="187"/>
        </w:trPr>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20" w:type="dxa"/>
            <w:vAlign w:val="bottom"/>
            <w:gridSpan w:val="2"/>
          </w:tcPr>
          <w:p>
            <w:pPr>
              <w:jc w:val="center"/>
              <w:ind w:right="1929"/>
              <w:spacing w:after="0"/>
              <w:rPr>
                <w:sz w:val="20"/>
                <w:szCs w:val="20"/>
                <w:color w:val="auto"/>
              </w:rPr>
            </w:pPr>
            <w:r>
              <w:rPr>
                <w:rFonts w:ascii="Times New Roman" w:cs="Times New Roman" w:eastAsia="Times New Roman" w:hAnsi="Times New Roman"/>
                <w:sz w:val="14"/>
                <w:szCs w:val="14"/>
                <w:b w:val="1"/>
                <w:bCs w:val="1"/>
                <w:color w:val="auto"/>
              </w:rPr>
              <w:t>UNITED STATES</w:t>
            </w:r>
          </w:p>
        </w:tc>
      </w:tr>
      <w:tr>
        <w:trPr>
          <w:trHeight w:val="326"/>
        </w:trPr>
        <w:tc>
          <w:tcPr>
            <w:tcW w:w="2020" w:type="dxa"/>
            <w:vAlign w:val="bottom"/>
          </w:tcPr>
          <w:p>
            <w:pPr>
              <w:spacing w:after="0"/>
              <w:rPr>
                <w:sz w:val="24"/>
                <w:szCs w:val="24"/>
                <w:color w:val="auto"/>
              </w:rPr>
            </w:pPr>
          </w:p>
        </w:tc>
        <w:tc>
          <w:tcPr>
            <w:tcW w:w="5240" w:type="dxa"/>
            <w:vAlign w:val="bottom"/>
            <w:gridSpan w:val="3"/>
          </w:tcPr>
          <w:p>
            <w:pPr>
              <w:jc w:val="center"/>
              <w:ind w:right="160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r>
      <w:tr>
        <w:trPr>
          <w:trHeight w:val="187"/>
        </w:trPr>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20" w:type="dxa"/>
            <w:vAlign w:val="bottom"/>
            <w:gridSpan w:val="2"/>
          </w:tcPr>
          <w:p>
            <w:pPr>
              <w:jc w:val="center"/>
              <w:ind w:right="1929"/>
              <w:spacing w:after="0"/>
              <w:rPr>
                <w:sz w:val="20"/>
                <w:szCs w:val="20"/>
                <w:color w:val="auto"/>
              </w:rPr>
            </w:pPr>
            <w:r>
              <w:rPr>
                <w:rFonts w:ascii="Times New Roman" w:cs="Times New Roman" w:eastAsia="Times New Roman" w:hAnsi="Times New Roman"/>
                <w:sz w:val="14"/>
                <w:szCs w:val="14"/>
                <w:b w:val="1"/>
                <w:bCs w:val="1"/>
                <w:color w:val="auto"/>
                <w:w w:val="99"/>
              </w:rPr>
              <w:t>WASHINGTON, D.C. 20549</w:t>
            </w:r>
          </w:p>
        </w:tc>
      </w:tr>
      <w:tr>
        <w:trPr>
          <w:trHeight w:val="215"/>
        </w:trPr>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120" w:type="dxa"/>
            <w:vAlign w:val="bottom"/>
          </w:tcPr>
          <w:p>
            <w:pPr>
              <w:spacing w:after="0"/>
              <w:rPr>
                <w:sz w:val="18"/>
                <w:szCs w:val="18"/>
                <w:color w:val="auto"/>
              </w:rPr>
            </w:pPr>
          </w:p>
        </w:tc>
      </w:tr>
      <w:tr>
        <w:trPr>
          <w:trHeight w:val="359"/>
        </w:trPr>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2"/>
          </w:tcPr>
          <w:p>
            <w:pPr>
              <w:jc w:val="center"/>
              <w:ind w:right="1929"/>
              <w:spacing w:after="0"/>
              <w:rPr>
                <w:sz w:val="20"/>
                <w:szCs w:val="20"/>
                <w:color w:val="auto"/>
              </w:rPr>
            </w:pPr>
            <w:r>
              <w:rPr>
                <w:rFonts w:ascii="Times New Roman" w:cs="Times New Roman" w:eastAsia="Times New Roman" w:hAnsi="Times New Roman"/>
                <w:sz w:val="14"/>
                <w:szCs w:val="14"/>
                <w:b w:val="1"/>
                <w:bCs w:val="1"/>
                <w:color w:val="auto"/>
              </w:rPr>
              <w:t>FORM S-3</w:t>
            </w:r>
          </w:p>
        </w:tc>
      </w:tr>
      <w:tr>
        <w:trPr>
          <w:trHeight w:val="169"/>
        </w:trPr>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20" w:type="dxa"/>
            <w:vAlign w:val="bottom"/>
            <w:gridSpan w:val="2"/>
          </w:tcPr>
          <w:p>
            <w:pPr>
              <w:jc w:val="center"/>
              <w:ind w:right="1929"/>
              <w:spacing w:after="0"/>
              <w:rPr>
                <w:sz w:val="20"/>
                <w:szCs w:val="20"/>
                <w:color w:val="auto"/>
              </w:rPr>
            </w:pPr>
            <w:r>
              <w:rPr>
                <w:rFonts w:ascii="Times New Roman" w:cs="Times New Roman" w:eastAsia="Times New Roman" w:hAnsi="Times New Roman"/>
                <w:sz w:val="14"/>
                <w:szCs w:val="14"/>
                <w:b w:val="1"/>
                <w:bCs w:val="1"/>
                <w:color w:val="auto"/>
                <w:w w:val="99"/>
              </w:rPr>
              <w:t>REGISTRATION STATEMENT</w:t>
            </w:r>
          </w:p>
        </w:tc>
      </w:tr>
      <w:tr>
        <w:trPr>
          <w:trHeight w:val="171"/>
        </w:trPr>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20" w:type="dxa"/>
            <w:vAlign w:val="bottom"/>
            <w:gridSpan w:val="2"/>
          </w:tcPr>
          <w:p>
            <w:pPr>
              <w:jc w:val="center"/>
              <w:ind w:right="190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tc>
      </w:tr>
      <w:tr>
        <w:trPr>
          <w:trHeight w:val="189"/>
        </w:trPr>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20" w:type="dxa"/>
            <w:vAlign w:val="bottom"/>
            <w:gridSpan w:val="2"/>
          </w:tcPr>
          <w:p>
            <w:pPr>
              <w:jc w:val="center"/>
              <w:ind w:right="192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tc>
      </w:tr>
      <w:tr>
        <w:trPr>
          <w:trHeight w:val="215"/>
        </w:trPr>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120" w:type="dxa"/>
            <w:vAlign w:val="bottom"/>
          </w:tcPr>
          <w:p>
            <w:pPr>
              <w:spacing w:after="0"/>
              <w:rPr>
                <w:sz w:val="18"/>
                <w:szCs w:val="18"/>
                <w:color w:val="auto"/>
              </w:rPr>
            </w:pPr>
          </w:p>
        </w:tc>
      </w:tr>
      <w:tr>
        <w:trPr>
          <w:trHeight w:val="476"/>
        </w:trPr>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2"/>
          </w:tcPr>
          <w:p>
            <w:pPr>
              <w:jc w:val="center"/>
              <w:ind w:right="1929"/>
              <w:spacing w:after="0"/>
              <w:rPr>
                <w:sz w:val="20"/>
                <w:szCs w:val="20"/>
                <w:color w:val="auto"/>
              </w:rPr>
            </w:pPr>
            <w:r>
              <w:rPr>
                <w:rFonts w:ascii="Times New Roman" w:cs="Times New Roman" w:eastAsia="Times New Roman" w:hAnsi="Times New Roman"/>
                <w:sz w:val="26"/>
                <w:szCs w:val="26"/>
                <w:b w:val="1"/>
                <w:bCs w:val="1"/>
                <w:color w:val="auto"/>
                <w:w w:val="98"/>
              </w:rPr>
              <w:t>TALPHERA, INC.</w:t>
            </w:r>
          </w:p>
        </w:tc>
      </w:tr>
      <w:tr>
        <w:trPr>
          <w:trHeight w:val="187"/>
        </w:trPr>
        <w:tc>
          <w:tcPr>
            <w:tcW w:w="2020" w:type="dxa"/>
            <w:vAlign w:val="bottom"/>
          </w:tcPr>
          <w:p>
            <w:pPr>
              <w:spacing w:after="0"/>
              <w:rPr>
                <w:sz w:val="16"/>
                <w:szCs w:val="16"/>
                <w:color w:val="auto"/>
              </w:rPr>
            </w:pPr>
          </w:p>
        </w:tc>
        <w:tc>
          <w:tcPr>
            <w:tcW w:w="5240" w:type="dxa"/>
            <w:vAlign w:val="bottom"/>
            <w:gridSpan w:val="3"/>
          </w:tcPr>
          <w:p>
            <w:pPr>
              <w:jc w:val="center"/>
              <w:ind w:right="160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15"/>
        </w:trPr>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120" w:type="dxa"/>
            <w:vAlign w:val="bottom"/>
          </w:tcPr>
          <w:p>
            <w:pPr>
              <w:spacing w:after="0"/>
              <w:rPr>
                <w:sz w:val="18"/>
                <w:szCs w:val="18"/>
                <w:color w:val="auto"/>
              </w:rPr>
            </w:pPr>
          </w:p>
        </w:tc>
      </w:tr>
      <w:tr>
        <w:trPr>
          <w:trHeight w:val="359"/>
        </w:trPr>
        <w:tc>
          <w:tcPr>
            <w:tcW w:w="20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5240" w:type="dxa"/>
            <w:vAlign w:val="bottom"/>
            <w:gridSpan w:val="3"/>
          </w:tcPr>
          <w:p>
            <w:pPr>
              <w:jc w:val="center"/>
              <w:ind w:left="3769"/>
              <w:spacing w:after="0"/>
              <w:rPr>
                <w:sz w:val="20"/>
                <w:szCs w:val="20"/>
                <w:color w:val="auto"/>
              </w:rPr>
            </w:pPr>
            <w:r>
              <w:rPr>
                <w:rFonts w:ascii="Times New Roman" w:cs="Times New Roman" w:eastAsia="Times New Roman" w:hAnsi="Times New Roman"/>
                <w:sz w:val="14"/>
                <w:szCs w:val="14"/>
                <w:b w:val="1"/>
                <w:bCs w:val="1"/>
                <w:color w:val="auto"/>
              </w:rPr>
              <w:t>41-2193603</w:t>
            </w:r>
          </w:p>
        </w:tc>
      </w:tr>
      <w:tr>
        <w:trPr>
          <w:trHeight w:val="171"/>
        </w:trPr>
        <w:tc>
          <w:tcPr>
            <w:tcW w:w="20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20" w:type="dxa"/>
            <w:vAlign w:val="bottom"/>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0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120" w:type="dxa"/>
            <w:vAlign w:val="bottom"/>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1850 Gateway, Suite 175</w:t>
      </w:r>
    </w:p>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San Mateo, CA 94404</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(650) 216-3500</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2691130</wp:posOffset>
            </wp:positionH>
            <wp:positionV relativeFrom="paragraph">
              <wp:posOffset>142875</wp:posOffset>
            </wp:positionV>
            <wp:extent cx="17849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4985" cy="698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Vincent J. Angotti</w:t>
      </w:r>
    </w:p>
    <w:p>
      <w:pPr>
        <w:spacing w:after="0" w:line="26"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1850 Gateway Drive, Suite 175</w:t>
      </w:r>
    </w:p>
    <w:p>
      <w:pPr>
        <w:spacing w:after="0" w:line="1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San Mateo, CA 94404</w:t>
      </w:r>
    </w:p>
    <w:p>
      <w:pPr>
        <w:spacing w:after="0" w:line="10"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(650) 216-3500</w:t>
      </w:r>
    </w:p>
    <w:p>
      <w:pPr>
        <w:spacing w:after="0" w:line="1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2691130</wp:posOffset>
            </wp:positionH>
            <wp:positionV relativeFrom="paragraph">
              <wp:posOffset>142875</wp:posOffset>
            </wp:positionV>
            <wp:extent cx="17849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4985" cy="698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4"/>
          <w:szCs w:val="14"/>
          <w:b w:val="1"/>
          <w:bCs w:val="1"/>
          <w:i w:val="1"/>
          <w:iCs w:val="1"/>
          <w:color w:val="auto"/>
        </w:rPr>
        <w:t>Copy to:</w:t>
      </w:r>
    </w:p>
    <w:p>
      <w:pPr>
        <w:spacing w:after="0" w:line="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John T. McKenna</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Cooley LLP</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3175 Hanover Street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Palo Alto, California 94304</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2691130</wp:posOffset>
            </wp:positionH>
            <wp:positionV relativeFrom="paragraph">
              <wp:posOffset>142875</wp:posOffset>
            </wp:positionV>
            <wp:extent cx="17849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4985" cy="698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152"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12" w:lineRule="exact"/>
        <w:rPr>
          <w:sz w:val="24"/>
          <w:szCs w:val="24"/>
          <w:color w:val="auto"/>
        </w:rPr>
      </w:pPr>
    </w:p>
    <w:p>
      <w:pPr>
        <w:ind w:firstLine="256"/>
        <w:spacing w:after="0" w:line="189"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6" w:lineRule="exact"/>
        <w:rPr>
          <w:sz w:val="24"/>
          <w:szCs w:val="24"/>
          <w:color w:val="auto"/>
        </w:rPr>
      </w:pPr>
    </w:p>
    <w:p>
      <w:pPr>
        <w:ind w:firstLine="256"/>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608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156845</wp:posOffset>
            </wp:positionV>
            <wp:extent cx="716089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203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489585</wp:posOffset>
            </wp:positionV>
            <wp:extent cx="716089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572" w:right="319" w:bottom="1440" w:gutter="0" w:footer="0" w:header="0"/>
        </w:sectPr>
      </w:pPr>
    </w:p>
    <w:bookmarkStart w:id="1" w:name="page2"/>
    <w:bookmarkEnd w:id="1"/>
    <w:p>
      <w:pPr>
        <w:jc w:val="both"/>
        <w:ind w:firstLine="256"/>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6" w:lineRule="exact"/>
        <w:rPr>
          <w:sz w:val="20"/>
          <w:szCs w:val="20"/>
          <w:color w:val="auto"/>
        </w:rPr>
      </w:pPr>
    </w:p>
    <w:p>
      <w:pPr>
        <w:jc w:val="both"/>
        <w:ind w:firstLine="256"/>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6" w:lineRule="exact"/>
        <w:rPr>
          <w:sz w:val="20"/>
          <w:szCs w:val="20"/>
          <w:color w:val="auto"/>
        </w:rPr>
      </w:pPr>
    </w:p>
    <w:p>
      <w:pPr>
        <w:jc w:val="both"/>
        <w:ind w:firstLine="256"/>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6"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Accelerated filer</w:t>
            </w:r>
          </w:p>
        </w:tc>
        <w:tc>
          <w:tcPr>
            <w:tcW w:w="104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42"/>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4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42"/>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9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35" w:lineRule="exact"/>
        <w:rPr>
          <w:sz w:val="20"/>
          <w:szCs w:val="20"/>
          <w:color w:val="auto"/>
        </w:rPr>
      </w:pPr>
    </w:p>
    <w:p>
      <w:pPr>
        <w:jc w:val="both"/>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231775</wp:posOffset>
            </wp:positionV>
            <wp:extent cx="17849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4985" cy="698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7160895"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2" w:name="page3"/>
    <w:bookmarkEnd w:id="2"/>
    <w:p>
      <w:pPr>
        <w:jc w:val="both"/>
        <w:spacing w:after="0" w:line="274" w:lineRule="auto"/>
        <w:rPr>
          <w:sz w:val="20"/>
          <w:szCs w:val="20"/>
          <w:color w:val="auto"/>
        </w:rPr>
      </w:pPr>
      <w:r>
        <w:rPr>
          <w:rFonts w:ascii="Times New Roman" w:cs="Times New Roman" w:eastAsia="Times New Roman" w:hAnsi="Times New Roman"/>
          <w:sz w:val="14"/>
          <w:szCs w:val="14"/>
          <w:b w:val="1"/>
          <w:bCs w:val="1"/>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Subject to Completion, Dated March 24, 2026</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125730</wp:posOffset>
            </wp:positionV>
            <wp:extent cx="1364615" cy="23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4615"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Up to 639,931 Shares of Common Stock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Up to 6,399,316 Shares of Common Stock Issuable Upon Exercise of Pre-Funded Warrants</w:t>
      </w:r>
    </w:p>
    <w:p>
      <w:pPr>
        <w:spacing w:after="0" w:line="183"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This prospectus relates to the proposed resale from time to time by the selling stockholders of up to 639,931 shares of common stock and 6,399,316 shares of common stock issuable upon exercise of pre-funded warrants.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selling stockholders purchased the common stock and pre-funded warrants from us pursuant to securities purchase agreements, dated March 31, 2025.</w:t>
      </w:r>
    </w:p>
    <w:p>
      <w:pPr>
        <w:spacing w:after="0" w:line="181"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We are not selling any of our common stock pursuant to this prospectus, and we will not receive any proceeds from the sale of our common stock offered by this prospectus by the selling stockholders.</w:t>
      </w:r>
    </w:p>
    <w:p>
      <w:pPr>
        <w:spacing w:after="0" w:line="124"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The selling stockholders may offer and sell or otherwise dispose of the shares of our common stock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their shares of our common stock.</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trading symbol “TLPH.” On March 23, 2026, the last reported sale price of the common stock was $0.8012 per share.</w:t>
      </w:r>
    </w:p>
    <w:p>
      <w:pPr>
        <w:spacing w:after="0" w:line="179" w:lineRule="exact"/>
        <w:rPr>
          <w:sz w:val="20"/>
          <w:szCs w:val="20"/>
          <w:color w:val="auto"/>
        </w:rPr>
      </w:pPr>
    </w:p>
    <w:p>
      <w:pPr>
        <w:jc w:val="both"/>
        <w:ind w:firstLine="256"/>
        <w:spacing w:after="0" w:line="293" w:lineRule="auto"/>
        <w:rPr>
          <w:sz w:val="20"/>
          <w:szCs w:val="20"/>
          <w:color w:val="auto"/>
        </w:rPr>
      </w:pPr>
      <w:r>
        <w:rPr>
          <w:rFonts w:ascii="Times New Roman" w:cs="Times New Roman" w:eastAsia="Times New Roman" w:hAnsi="Times New Roman"/>
          <w:sz w:val="14"/>
          <w:szCs w:val="14"/>
          <w:b w:val="1"/>
          <w:bCs w:val="1"/>
          <w:color w:val="auto"/>
        </w:rPr>
        <w:t xml:space="preserve">Investing in our common stock involves a high degree of risk. You should review carefully the risks and uncertainties described under the heading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on page 3 of this prospectus, and under similar headings in the other documents that are incorporated by reference into this prospectus.</w:t>
      </w:r>
    </w:p>
    <w:p>
      <w:pPr>
        <w:spacing w:after="0" w:line="120" w:lineRule="exact"/>
        <w:rPr>
          <w:sz w:val="20"/>
          <w:szCs w:val="20"/>
          <w:color w:val="auto"/>
        </w:rPr>
      </w:pPr>
    </w:p>
    <w:p>
      <w:pPr>
        <w:jc w:val="both"/>
        <w:ind w:firstLine="256"/>
        <w:spacing w:after="0" w:line="29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40" w:type="dxa"/>
            <w:vAlign w:val="bottom"/>
          </w:tcPr>
          <w:p>
            <w:pPr>
              <w:ind w:left="4360"/>
              <w:spacing w:after="0"/>
              <w:rPr>
                <w:sz w:val="20"/>
                <w:szCs w:val="20"/>
                <w:color w:val="auto"/>
              </w:rPr>
            </w:pPr>
            <w:r>
              <w:rPr>
                <w:rFonts w:ascii="Times New Roman" w:cs="Times New Roman" w:eastAsia="Times New Roman" w:hAnsi="Times New Roman"/>
                <w:sz w:val="14"/>
                <w:szCs w:val="14"/>
                <w:b w:val="1"/>
                <w:bCs w:val="1"/>
                <w:color w:val="auto"/>
              </w:rPr>
              <w:t>The date of this prospectus is</w:t>
            </w:r>
          </w:p>
        </w:tc>
        <w:tc>
          <w:tcPr>
            <w:tcW w:w="4940" w:type="dxa"/>
            <w:vAlign w:val="bottom"/>
          </w:tcPr>
          <w:p>
            <w:pPr>
              <w:jc w:val="right"/>
              <w:ind w:right="4289"/>
              <w:spacing w:after="0"/>
              <w:rPr>
                <w:sz w:val="20"/>
                <w:szCs w:val="20"/>
                <w:color w:val="auto"/>
              </w:rPr>
            </w:pPr>
            <w:r>
              <w:rPr>
                <w:rFonts w:ascii="Times New Roman" w:cs="Times New Roman" w:eastAsia="Times New Roman" w:hAnsi="Times New Roman"/>
                <w:sz w:val="14"/>
                <w:szCs w:val="14"/>
                <w:b w:val="1"/>
                <w:bCs w:val="1"/>
                <w:color w:val="auto"/>
              </w:rPr>
              <w:t>, 2026.</w:t>
            </w:r>
          </w:p>
        </w:tc>
      </w:tr>
      <w:tr>
        <w:trPr>
          <w:trHeight w:val="451"/>
        </w:trPr>
        <w:tc>
          <w:tcPr>
            <w:tcW w:w="6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86"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6740" w:type="dxa"/>
            <w:vAlign w:val="bottom"/>
            <w:gridSpan w:val="2"/>
          </w:tcPr>
          <w:p>
            <w:pPr>
              <w:jc w:val="right"/>
              <w:ind w:right="49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42"/>
        </w:trPr>
        <w:tc>
          <w:tcPr>
            <w:tcW w:w="4560" w:type="dxa"/>
            <w:vAlign w:val="bottom"/>
          </w:tcPr>
          <w:p>
            <w:pPr>
              <w:spacing w:after="0"/>
              <w:rPr>
                <w:sz w:val="24"/>
                <w:szCs w:val="24"/>
                <w:color w:val="auto"/>
              </w:rPr>
            </w:pPr>
          </w:p>
        </w:tc>
        <w:tc>
          <w:tcPr>
            <w:tcW w:w="6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ABOUT THIS PROSPECTUS</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ii</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PROSPECTUS SUMMARY</w:t>
            </w:r>
          </w:p>
        </w:tc>
        <w:tc>
          <w:tcPr>
            <w:tcW w:w="6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SPECIAL NOTE REGARDING FORWARD-LOOKING STATEMENTS</w:t>
            </w:r>
          </w:p>
        </w:tc>
        <w:tc>
          <w:tcPr>
            <w:tcW w:w="6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USE OF PROCEEDS</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DESCRIPTION OF CAPITAL STOCK</w:t>
            </w:r>
          </w:p>
        </w:tc>
        <w:tc>
          <w:tcPr>
            <w:tcW w:w="6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STOCKHOLDERS</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PLAN OF DISTRIBUTION</w:t>
            </w:r>
          </w:p>
        </w:tc>
        <w:tc>
          <w:tcPr>
            <w:tcW w:w="6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MATTERS</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EXPERTS</w:t>
            </w:r>
          </w:p>
        </w:tc>
        <w:tc>
          <w:tcPr>
            <w:tcW w:w="6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WHERE YOU CAN FIND ADDITIONAL INFORMATION</w:t>
            </w:r>
          </w:p>
        </w:tc>
        <w:tc>
          <w:tcPr>
            <w:tcW w:w="6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INCORPORATION OF CERTAIN INFORMATION BY REFERENCE</w:t>
            </w:r>
          </w:p>
        </w:tc>
        <w:tc>
          <w:tcPr>
            <w:tcW w:w="6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127000</wp:posOffset>
            </wp:positionV>
            <wp:extent cx="178498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4985" cy="698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60895"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3"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Neither we nor the selling stockholders have authorized anyone to provide you with any information other than that contained in, or incorporated by reference into, this prospectus. We take no responsibility for, and can provide no assurance as to the reliability of, any other information that others may give you. This prospectus is an offer to sell only the shares of our common stock offered hereby, but only under circumstances and in jurisdictions where it is lawful to do so. You should not assume that the information contained in or incorporated by reference in this prospectus is accurate as of any date other than their respective dates. Our business, financial condition, results of operations and prospects may have changed since those dates.</w:t>
      </w:r>
    </w:p>
    <w:p>
      <w:pPr>
        <w:spacing w:after="0" w:line="141" w:lineRule="exact"/>
        <w:rPr>
          <w:sz w:val="20"/>
          <w:szCs w:val="20"/>
          <w:color w:val="auto"/>
        </w:rPr>
      </w:pPr>
    </w:p>
    <w:p>
      <w:pPr>
        <w:jc w:val="both"/>
        <w:ind w:firstLine="256"/>
        <w:spacing w:after="0" w:line="270"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3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Unless the context indicates otherwise, as used in this prospectus, the terms “Talphera,” “Talphera, Inc.,” “we,” “us” and “our” refer to Talphera, Inc., a Delaware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6089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208280</wp:posOffset>
            </wp:positionV>
            <wp:extent cx="7186930" cy="5300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5300345"/>
                    </a:xfrm>
                    <a:prstGeom prst="rect">
                      <a:avLst/>
                    </a:prstGeom>
                    <a:noFill/>
                  </pic:spPr>
                </pic:pic>
              </a:graphicData>
            </a:graphic>
          </wp:anchor>
        </w:drawing>
        <w:t>PROSPECTUS SUMMARY</w:t>
      </w:r>
    </w:p>
    <w:p>
      <w:pPr>
        <w:spacing w:after="0" w:line="181" w:lineRule="exact"/>
        <w:rPr>
          <w:sz w:val="20"/>
          <w:szCs w:val="20"/>
          <w:color w:val="auto"/>
        </w:rPr>
      </w:pPr>
    </w:p>
    <w:p>
      <w:pPr>
        <w:jc w:val="both"/>
        <w:ind w:firstLine="257"/>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including the risks of investing in our securities discussed under the heading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contained in this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Talphera,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3" w:lineRule="exact"/>
        <w:rPr>
          <w:sz w:val="20"/>
          <w:szCs w:val="20"/>
          <w:color w:val="auto"/>
        </w:rPr>
      </w:pPr>
    </w:p>
    <w:p>
      <w:pPr>
        <w:jc w:val="both"/>
        <w:ind w:firstLine="257"/>
        <w:spacing w:after="0" w:line="263" w:lineRule="auto"/>
        <w:rPr>
          <w:sz w:val="20"/>
          <w:szCs w:val="20"/>
          <w:color w:val="auto"/>
        </w:rPr>
      </w:pPr>
      <w:r>
        <w:rPr>
          <w:rFonts w:ascii="Times New Roman" w:cs="Times New Roman" w:eastAsia="Times New Roman" w:hAnsi="Times New Roman"/>
          <w:sz w:val="14"/>
          <w:szCs w:val="14"/>
          <w:color w:val="auto"/>
        </w:rPr>
        <w:t>We are a specialty pharmaceutical company focused on the development and commercialization of innovative therapies for use in medically supervised settings. Our product development portfolio features Niyad (a regional anticoagulant for the dialysis circuit), LTX-608 (a nafamostat formulation for direct IV infusion) that we intend to develop for one or more of the following indications: disseminated intravascular coagulation, or DIC, acute respiratory distress syndrome, or ARDS, acute pancreatitis, or as an anti-viral treatment, and two ready-to-use pre-filled syringe product candidates (Fedsyra and phenylephrine). Our strategy is focused on developing, obtaining approval, and commercializing Niyad. We intend to expand our portfolio to include additional acute care therapies for use in medically supervised settings.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Private Placement of Common Stock and Pre-Funded Warrants</w:t>
      </w:r>
    </w:p>
    <w:p>
      <w:pPr>
        <w:spacing w:after="0" w:line="183" w:lineRule="exact"/>
        <w:rPr>
          <w:sz w:val="20"/>
          <w:szCs w:val="20"/>
          <w:color w:val="auto"/>
        </w:rPr>
      </w:pPr>
    </w:p>
    <w:p>
      <w:pPr>
        <w:jc w:val="both"/>
        <w:ind w:firstLine="257"/>
        <w:spacing w:after="0" w:line="290" w:lineRule="auto"/>
        <w:rPr>
          <w:sz w:val="20"/>
          <w:szCs w:val="20"/>
          <w:color w:val="auto"/>
        </w:rPr>
      </w:pPr>
      <w:r>
        <w:rPr>
          <w:rFonts w:ascii="Times New Roman" w:cs="Times New Roman" w:eastAsia="Times New Roman" w:hAnsi="Times New Roman"/>
          <w:sz w:val="14"/>
          <w:szCs w:val="14"/>
          <w:color w:val="auto"/>
        </w:rPr>
        <w:t>On March 31, 2025, we entered into securities purchase agreements with the selling stockholders pursuant to which we issued at the third closing, or the Third Closing, of a private placement transaction, or the 2025 Private Placement:</w:t>
      </w:r>
    </w:p>
    <w:p>
      <w:pPr>
        <w:spacing w:after="0" w:line="124" w:lineRule="exact"/>
        <w:rPr>
          <w:sz w:val="20"/>
          <w:szCs w:val="20"/>
          <w:color w:val="auto"/>
        </w:rPr>
      </w:pPr>
    </w:p>
    <w:p>
      <w:pPr>
        <w:ind w:left="500" w:hanging="250"/>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639,931 shares of common stock; and</w:t>
      </w:r>
    </w:p>
    <w:p>
      <w:pPr>
        <w:spacing w:after="0" w:line="202" w:lineRule="exact"/>
        <w:rPr>
          <w:rFonts w:ascii="Times New Roman" w:cs="Times New Roman" w:eastAsia="Times New Roman" w:hAnsi="Times New Roman"/>
          <w:sz w:val="14"/>
          <w:szCs w:val="14"/>
          <w:color w:val="auto"/>
        </w:rPr>
      </w:pPr>
    </w:p>
    <w:p>
      <w:pPr>
        <w:ind w:left="500" w:right="20" w:hanging="250"/>
        <w:spacing w:after="0" w:line="290" w:lineRule="auto"/>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pre-funded warrants to purchase up to an aggregate of 6,399,316 shares of common stock at an exercise price of $0.001 per share. The pre-funded warrants are exercisable immediately and have an unlimited term.</w:t>
      </w:r>
    </w:p>
    <w:p>
      <w:pPr>
        <w:spacing w:after="0" w:line="1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purchase price per share and per pre-funded warrant was $0.586 and $0.585, respectively, for aggregate gross proceeds of approximately $4.1 million, before deducting expenses payable by us.</w:t>
      </w:r>
    </w:p>
    <w:p>
      <w:pPr>
        <w:spacing w:after="0" w:line="335" w:lineRule="exact"/>
        <w:rPr>
          <w:sz w:val="20"/>
          <w:szCs w:val="20"/>
          <w:color w:val="auto"/>
        </w:rPr>
      </w:pPr>
    </w:p>
    <w:p>
      <w:pPr>
        <w:jc w:val="both"/>
        <w:ind w:firstLine="257"/>
        <w:spacing w:after="0" w:line="266" w:lineRule="auto"/>
        <w:rPr>
          <w:sz w:val="20"/>
          <w:szCs w:val="20"/>
          <w:color w:val="auto"/>
        </w:rPr>
      </w:pPr>
      <w:r>
        <w:rPr>
          <w:rFonts w:ascii="Times New Roman" w:cs="Times New Roman" w:eastAsia="Times New Roman" w:hAnsi="Times New Roman"/>
          <w:sz w:val="14"/>
          <w:szCs w:val="14"/>
          <w:color w:val="auto"/>
        </w:rPr>
        <w:t>We are only registering pursuant to the registration statement of which this prospectus forms a part (i) the shares of common stock and (ii) the shares of common stock issuable upon exercise of the pre-funded warrants that were issued and sold in the Third Closing of the 2025 Private Placement. We have agreed to file additional registration statements following any future optional closings pursuant to the 2025 Private Placement and the potential second closing of the private placement we consummated in September 2025 to register (i) the shares of common stock and (ii) the shares of common stock issuable upon exercise of the pre-funded warrants to be issued and sold in such closings, if any, to purchasers participating in such closings.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3" w:lineRule="exact"/>
        <w:rPr>
          <w:sz w:val="20"/>
          <w:szCs w:val="20"/>
          <w:color w:val="auto"/>
        </w:rPr>
      </w:pPr>
    </w:p>
    <w:p>
      <w:pPr>
        <w:jc w:val="both"/>
        <w:ind w:firstLine="257"/>
        <w:spacing w:after="0" w:line="290" w:lineRule="auto"/>
        <w:rPr>
          <w:sz w:val="20"/>
          <w:szCs w:val="20"/>
          <w:color w:val="auto"/>
        </w:rPr>
      </w:pPr>
      <w:r>
        <w:rPr>
          <w:rFonts w:ascii="Times New Roman" w:cs="Times New Roman" w:eastAsia="Times New Roman" w:hAnsi="Times New Roman"/>
          <w:sz w:val="14"/>
          <w:szCs w:val="14"/>
          <w:color w:val="auto"/>
        </w:rPr>
        <w:t>We will not receive any of the proceeds from the sale of shares of our common stock by the selling stockholders in this offering. The selling stockholders will receive all of the proceeds from the sale of shares of our common stock hereunder.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Nasdaq Capital Market Listing</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“TLPH.”</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69850</wp:posOffset>
            </wp:positionV>
            <wp:extent cx="716089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040"/>
          </w:cols>
          <w:pgMar w:left="440" w:top="97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208280</wp:posOffset>
            </wp:positionV>
            <wp:extent cx="7186930" cy="1037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1037590"/>
                    </a:xfrm>
                    <a:prstGeom prst="rect">
                      <a:avLst/>
                    </a:prstGeom>
                    <a:noFill/>
                  </pic:spPr>
                </pic:pic>
              </a:graphicData>
            </a:graphic>
          </wp:anchor>
        </w:drawing>
        <w:t>Company Information</w:t>
      </w:r>
    </w:p>
    <w:p>
      <w:pPr>
        <w:spacing w:after="0" w:line="183" w:lineRule="exact"/>
        <w:rPr>
          <w:sz w:val="20"/>
          <w:szCs w:val="20"/>
          <w:color w:val="auto"/>
        </w:rPr>
      </w:pPr>
    </w:p>
    <w:p>
      <w:pPr>
        <w:jc w:val="both"/>
        <w:ind w:firstLine="257"/>
        <w:spacing w:after="0" w:line="266" w:lineRule="auto"/>
        <w:rPr>
          <w:sz w:val="20"/>
          <w:szCs w:val="20"/>
          <w:color w:val="auto"/>
        </w:rPr>
      </w:pPr>
      <w:r>
        <w:rPr>
          <w:rFonts w:ascii="Times New Roman" w:cs="Times New Roman" w:eastAsia="Times New Roman" w:hAnsi="Times New Roman"/>
          <w:sz w:val="14"/>
          <w:szCs w:val="14"/>
          <w:color w:val="auto"/>
        </w:rPr>
        <w:t>We were originally incorporated as SuRx, Inc. in Delaware on July 13, 2005, and changed our name to AcelRx Pharmaceuticals, Inc. on January 6, 2006, and most recently to Talphera, Inc. on January 9, 2024. Our principal executive offices are located at 1850 Gateway Drive, Suite 175, San Mateo, California 94404, and our telephone number is (650) 216-3500. Our website address is www.talphera.com. The information contained in, or that can be accessed through, our website is not part of, and is not incorporated into, this prospectus and should not be considered part of this prospectus.</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69850</wp:posOffset>
            </wp:positionV>
            <wp:extent cx="7160895"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040"/>
          </w:cols>
          <w:pgMar w:left="440" w:top="615" w:right="4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3" w:lineRule="exact"/>
        <w:rPr>
          <w:sz w:val="20"/>
          <w:szCs w:val="20"/>
          <w:color w:val="auto"/>
        </w:rPr>
      </w:pPr>
    </w:p>
    <w:p>
      <w:pPr>
        <w:jc w:val="both"/>
        <w:ind w:firstLine="256"/>
        <w:spacing w:after="0" w:line="260"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Before deciding whether to invest in our common stock, you should consider carefully the risks and uncertainties described under the heading “Risk Factors” contained in our most recent annual report on Form 10-K, as updated by our subsequent quarterly reports on Form 10-Q and other filings we make with the Securities and Exchange Commission, or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3"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41" w:lineRule="exact"/>
        <w:rPr>
          <w:sz w:val="20"/>
          <w:szCs w:val="20"/>
          <w:color w:val="auto"/>
        </w:rPr>
      </w:pPr>
    </w:p>
    <w:p>
      <w:pPr>
        <w:ind w:left="520" w:hanging="258"/>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required financing and to continue as a going concern;</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our operating costs and reduce our cash burn;</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the sufficiency of our cash resources, future revenues, expenses, and capital requirements;</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listing of our securities trading on the Nasdaq Stock Market;</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performance and high volatility in the market price of our common stock;</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uncertainties, including inflationary pressures, domestic and global supply chain disruptions, labor shortages, significant volatility in global markets, and recession risks;</w:t>
      </w:r>
    </w:p>
    <w:p>
      <w:pPr>
        <w:spacing w:after="0" w:line="202" w:lineRule="exact"/>
        <w:rPr>
          <w:rFonts w:ascii="Times New Roman" w:cs="Times New Roman" w:eastAsia="Times New Roman" w:hAnsi="Times New Roman"/>
          <w:sz w:val="14"/>
          <w:szCs w:val="14"/>
          <w:color w:val="auto"/>
        </w:rPr>
      </w:pPr>
    </w:p>
    <w:p>
      <w:pPr>
        <w:ind w:left="520" w:hanging="258"/>
        <w:spacing w:after="0" w:line="290"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conduct ourselves, or through a contract research organization, clinical trials in a timely and effective manner to advance the development of our product candidates, including our lead nafamostat developmental product candidate, Niyad;</w:t>
      </w:r>
    </w:p>
    <w:p>
      <w:pPr>
        <w:spacing w:after="0" w:line="124"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file for and obtain regulatory approval for, and then successfully launch and commercialize our developmental product candidates;</w:t>
      </w:r>
    </w:p>
    <w:p>
      <w:pPr>
        <w:spacing w:after="0" w:line="202" w:lineRule="exact"/>
        <w:rPr>
          <w:rFonts w:ascii="Times New Roman" w:cs="Times New Roman" w:eastAsia="Times New Roman" w:hAnsi="Times New Roman"/>
          <w:sz w:val="14"/>
          <w:szCs w:val="14"/>
          <w:color w:val="auto"/>
        </w:rPr>
      </w:pPr>
    </w:p>
    <w:p>
      <w:pPr>
        <w:ind w:left="520" w:hanging="258"/>
        <w:spacing w:after="0" w:line="290"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discontinuation by our corporate partner, Vertical Pharmaceuticals LLC, a wholly owned subsidiary of Alora Pharmaceuticals, LLC, or Alora, of its marketing, sales, and distribution efforts related to DSUVIA;</w:t>
      </w:r>
    </w:p>
    <w:p>
      <w:pPr>
        <w:spacing w:after="0" w:line="124"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of future sales of DSUVIA by Alora to the Department of Defense, given the discontinuation of its marketing, sales and distribution efforts related to DSUVIA;</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potential markets for our developmental product candidates in the United States and in other jurisdictions, and our ability to serve those markets;</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the existence of, and commercial potential for, markets for our developmental product candidates, if approved;</w:t>
      </w:r>
    </w:p>
    <w:p>
      <w:pPr>
        <w:spacing w:after="0" w:line="202" w:lineRule="exact"/>
        <w:rPr>
          <w:rFonts w:ascii="Times New Roman" w:cs="Times New Roman" w:eastAsia="Times New Roman" w:hAnsi="Times New Roman"/>
          <w:sz w:val="14"/>
          <w:szCs w:val="14"/>
          <w:color w:val="auto"/>
        </w:rPr>
      </w:pPr>
    </w:p>
    <w:p>
      <w:pPr>
        <w:ind w:left="520" w:hanging="258"/>
        <w:spacing w:after="0" w:line="290"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sales and marketing capabilities in a timely fashion, whether alone through recruiting qualified employees, by engaging a contract sales organization, or with potential future collaborators;</w:t>
      </w:r>
    </w:p>
    <w:p>
      <w:pPr>
        <w:spacing w:after="0" w:line="124" w:lineRule="exact"/>
        <w:rPr>
          <w:rFonts w:ascii="Times New Roman" w:cs="Times New Roman" w:eastAsia="Times New Roman" w:hAnsi="Times New Roman"/>
          <w:sz w:val="14"/>
          <w:szCs w:val="14"/>
          <w:color w:val="auto"/>
        </w:rPr>
      </w:pPr>
    </w:p>
    <w:p>
      <w:pPr>
        <w:ind w:left="520" w:hanging="258"/>
        <w:spacing w:after="0" w:line="290"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establishing and maintaining commercial manufacturing and supply chain relationships with domestic and global third-party service providers including single sources of supply for Niyad active pharmaceutical ingredients and finished goods located outside the United States;</w:t>
      </w:r>
    </w:p>
    <w:p>
      <w:pPr>
        <w:spacing w:after="0" w:line="124" w:lineRule="exact"/>
        <w:rPr>
          <w:rFonts w:ascii="Times New Roman" w:cs="Times New Roman" w:eastAsia="Times New Roman" w:hAnsi="Times New Roman"/>
          <w:sz w:val="14"/>
          <w:szCs w:val="14"/>
          <w:color w:val="auto"/>
        </w:rPr>
      </w:pPr>
    </w:p>
    <w:p>
      <w:pPr>
        <w:ind w:left="520" w:hanging="258"/>
        <w:spacing w:after="0" w:line="290"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effectively, and the impact of any costs associated with, potential governmental investigations, inquiries, regulatory actions or lawsuits that may be, or have been, brought against us;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9" w:name="page10"/>
    <w:bookmarkEnd w:id="9"/>
    <w:p>
      <w:pPr>
        <w:ind w:left="520" w:hanging="258"/>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adequate government or third-party payer reimbursement for our developmental product candidates, if approved;</w:t>
      </w:r>
    </w:p>
    <w:p>
      <w:pPr>
        <w:spacing w:after="0" w:line="202" w:lineRule="exact"/>
        <w:rPr>
          <w:rFonts w:ascii="Times New Roman" w:cs="Times New Roman" w:eastAsia="Times New Roman" w:hAnsi="Times New Roman"/>
          <w:sz w:val="14"/>
          <w:szCs w:val="14"/>
          <w:color w:val="auto"/>
        </w:rPr>
      </w:pPr>
    </w:p>
    <w:p>
      <w:pPr>
        <w:ind w:left="520" w:hanging="258"/>
        <w:spacing w:after="0" w:line="290"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gain access to formularies and establish and then maintain effective relationships with pharmaceutical benefit managers and/or group purchasing organizations for our developmental product candidates, if approved;</w:t>
      </w:r>
    </w:p>
    <w:p>
      <w:pPr>
        <w:spacing w:after="0" w:line="124"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additional collaborators with development, regulatory and commercialization expertise;</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secure potential strategic partners to develop, secure regulatory approval for and then commercialize our developmental product candidates;</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retain our key commercial, scientific, engineering, medical or management personnel and hire new personnel as needed;</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and future legislation and other regulatory developments in the United States and foreign countries;</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our third-party suppliers and manufacturers, including any supply chain impacts or work limitations;</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become available; and</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intellectual property protection for our approved products and product candidates.</w:t>
      </w:r>
    </w:p>
    <w:p>
      <w:pPr>
        <w:spacing w:after="0" w:line="202" w:lineRule="exact"/>
        <w:rPr>
          <w:sz w:val="20"/>
          <w:szCs w:val="20"/>
          <w:color w:val="auto"/>
        </w:rPr>
      </w:pPr>
    </w:p>
    <w:p>
      <w:pPr>
        <w:jc w:val="both"/>
        <w:ind w:firstLine="256"/>
        <w:spacing w:after="0" w:line="260"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are based on assumptions and are subject to risks and uncertainties. Given these uncertainties, you should not place undue reliance on these forward-looking statements. We discuss in greater detail, and incorporate by reference into this prospectus in their entirety, many of these risks under the section titled “Risk Factors” in our most recent annual report on Form 10-K, and in our subsequent quarterly reports on Form 10-Q, as updated by our subsequent filings under the Exchange Act, which are incorporated herein by reference, as may be updated or superseded by the risks and uncertainties described under similar headings in the other documents that are filed after the date hereof and incorporated by reference into this prospectus. Also, these forward-looking statements represent our estimates and assumptions only as of the date of the document containing the applicable statement.</w:t>
      </w:r>
    </w:p>
    <w:p>
      <w:pPr>
        <w:spacing w:after="0" w:line="147"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These risks are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37"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We cannot assure you that the events and circumstances reflected in the forward-looking statements will be achieved or occur.</w:t>
      </w:r>
    </w:p>
    <w:p>
      <w:pPr>
        <w:spacing w:after="0" w:line="124"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37" w:lineRule="exact"/>
        <w:rPr>
          <w:sz w:val="20"/>
          <w:szCs w:val="20"/>
          <w:color w:val="auto"/>
        </w:rPr>
      </w:pPr>
    </w:p>
    <w:p>
      <w:pPr>
        <w:jc w:val="both"/>
        <w:ind w:firstLine="256"/>
        <w:spacing w:after="0" w:line="270"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312"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10" w:name="page11"/>
    <w:bookmarkEnd w:id="10"/>
    <w:p>
      <w:pPr>
        <w:ind w:left="47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the shares of our common stock to be sold pursuant to this prospectus will be sold by the selling stockholders. We will not receive any of the proceeds from such sales.</w:t>
      </w:r>
    </w:p>
    <w:p>
      <w:pPr>
        <w:spacing w:after="0" w:line="18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69850</wp:posOffset>
            </wp:positionV>
            <wp:extent cx="7160895"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9899"/>
          </w:cols>
          <w:pgMar w:left="560" w:top="486"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83"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Our authorized capital stock consists of 200,000,000 shares of common stock and 10,000,000 shares of preferred stock, $0.001 par value. As of March 16, 2026, we had 50,049,824 shares of common stock issued and outstanding and no shares of preferred stock issued and outstanding.</w:t>
      </w:r>
    </w:p>
    <w:p>
      <w:pPr>
        <w:spacing w:after="0" w:line="124"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A description of the material terms and provisions of our amended and restated certificate of incorporation and amended and restated bylaws affecting the rights of holders of our capital stock is set forth below. The description is intended as a summary, and is qualified in its entirety by reference to our amended and restated certificate of incorporation and our amended and restated bylaws which are incorporated by reference into the registration statement of which this prospectus is a part.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1" w:lineRule="exact"/>
        <w:rPr>
          <w:sz w:val="20"/>
          <w:szCs w:val="20"/>
          <w:color w:val="auto"/>
        </w:rPr>
      </w:pPr>
    </w:p>
    <w:p>
      <w:pPr>
        <w:jc w:val="both"/>
        <w:ind w:firstLine="256"/>
        <w:spacing w:after="0" w:line="264"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Each holder of common stock is entitled to one vote for each share on all matters submitted to a vote of the stockholders, including the election of directors. In all matters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than the election of directors, the affirmative vote of the majority of shares present in person, by remote communication, or represented by proxy at a meeting of the stockholders and entitled to vote generally on the subject matter shall be the act of the stockholders. Directors shall be elected by a plurality of the votes of the shares present in person, by remote communication, or represented by proxy at a meeting of the stockholders and entitled to vote generally on the election of directors. Our stockholders do not have cumulative voting rights in the election of directors. Accordingly, the holders of a majority of the voting shares are able to elect all of the directors to be elected at any particular time.</w:t>
      </w:r>
    </w:p>
    <w:p>
      <w:pPr>
        <w:spacing w:after="0" w:line="141" w:lineRule="exact"/>
        <w:rPr>
          <w:sz w:val="20"/>
          <w:szCs w:val="20"/>
          <w:color w:val="auto"/>
        </w:rPr>
      </w:pPr>
    </w:p>
    <w:p>
      <w:pPr>
        <w:jc w:val="both"/>
        <w:ind w:firstLine="256"/>
        <w:spacing w:after="0" w:line="274"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preferences that may be applicable to any then outstanding preferred stock, holders of our common stock are entitled to receive dividends, if any, as may be declared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 to time by our board of directors out of funds legally available if our board of directors, in its discretion, determines to issue dividends and then only at the times and in the amounts that our board of directors may determine.</w:t>
      </w:r>
    </w:p>
    <w:p>
      <w:pPr>
        <w:spacing w:after="0" w:line="133" w:lineRule="exact"/>
        <w:rPr>
          <w:sz w:val="20"/>
          <w:szCs w:val="20"/>
          <w:color w:val="auto"/>
        </w:rPr>
      </w:pPr>
    </w:p>
    <w:p>
      <w:pPr>
        <w:jc w:val="both"/>
        <w:ind w:firstLine="256"/>
        <w:spacing w:after="0" w:line="293" w:lineRule="auto"/>
        <w:rPr>
          <w:sz w:val="20"/>
          <w:szCs w:val="20"/>
          <w:color w:val="auto"/>
        </w:rPr>
      </w:pPr>
      <w:r>
        <w:rPr>
          <w:rFonts w:ascii="Times New Roman" w:cs="Times New Roman" w:eastAsia="Times New Roman" w:hAnsi="Times New Roman"/>
          <w:sz w:val="14"/>
          <w:szCs w:val="14"/>
          <w:i w:val="1"/>
          <w:iCs w:val="1"/>
          <w:color w:val="auto"/>
        </w:rPr>
        <w:t>Liquidation</w:t>
      </w:r>
      <w:r>
        <w:rPr>
          <w:rFonts w:ascii="Times New Roman" w:cs="Times New Roman" w:eastAsia="Times New Roman" w:hAnsi="Times New Roman"/>
          <w:sz w:val="14"/>
          <w:szCs w:val="14"/>
          <w:color w:val="auto"/>
        </w:rPr>
        <w:t>. In the event of our liquidation, dissolution or winding up, holders of common stock will be entitled to share ratably in the net assets legally available for distribution to stockholders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after the payment of all of our debts and other liabilities and the satisfaction of any liquidation preference granted to the holders of any then outstanding shares of preferred stock.</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Rights</w:t>
      </w:r>
      <w:r>
        <w:rPr>
          <w:rFonts w:ascii="Times New Roman" w:cs="Times New Roman" w:eastAsia="Times New Roman" w:hAnsi="Times New Roman"/>
          <w:sz w:val="14"/>
          <w:szCs w:val="14"/>
          <w:color w:val="auto"/>
        </w:rPr>
        <w:t>. Holders of common stock have no preemptive, conversion, subscription or other rights, and there are no redemption or sinking fund provisions applicable to shares of common stock.</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Fully Paid and Nonassessable</w:t>
      </w:r>
      <w:r>
        <w:rPr>
          <w:rFonts w:ascii="Times New Roman" w:cs="Times New Roman" w:eastAsia="Times New Roman" w:hAnsi="Times New Roman"/>
          <w:sz w:val="14"/>
          <w:szCs w:val="14"/>
          <w:color w:val="auto"/>
        </w:rPr>
        <w:t>. All of outstanding shares of common stock are fully paid and nonassessable.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83" w:lineRule="exact"/>
        <w:rPr>
          <w:sz w:val="20"/>
          <w:szCs w:val="20"/>
          <w:color w:val="auto"/>
        </w:rPr>
      </w:pPr>
    </w:p>
    <w:p>
      <w:pPr>
        <w:jc w:val="both"/>
        <w:ind w:firstLine="256"/>
        <w:spacing w:after="0" w:line="263" w:lineRule="auto"/>
        <w:rPr>
          <w:sz w:val="20"/>
          <w:szCs w:val="20"/>
          <w:color w:val="auto"/>
        </w:rPr>
      </w:pPr>
      <w:r>
        <w:rPr>
          <w:rFonts w:ascii="Times New Roman" w:cs="Times New Roman" w:eastAsia="Times New Roman" w:hAnsi="Times New Roman"/>
          <w:sz w:val="14"/>
          <w:szCs w:val="14"/>
          <w:color w:val="auto"/>
        </w:rPr>
        <w:t>Our board of directors may, without further action by our stockholders, fix the rights, preferences, privileges and restrictions of up to an aggregate of 10,000,000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our Certificate of Incorporation and Bylaws and Delaware Law</w:t>
      </w:r>
    </w:p>
    <w:p>
      <w:pPr>
        <w:spacing w:after="0" w:line="181" w:lineRule="exact"/>
        <w:rPr>
          <w:sz w:val="20"/>
          <w:szCs w:val="20"/>
          <w:color w:val="auto"/>
        </w:rPr>
      </w:pPr>
    </w:p>
    <w:p>
      <w:pPr>
        <w:jc w:val="both"/>
        <w:ind w:firstLine="256"/>
        <w:spacing w:after="0" w:line="293" w:lineRule="auto"/>
        <w:rPr>
          <w:sz w:val="20"/>
          <w:szCs w:val="20"/>
          <w:color w:val="auto"/>
        </w:rPr>
      </w:pPr>
      <w:r>
        <w:rPr>
          <w:rFonts w:ascii="Times New Roman" w:cs="Times New Roman" w:eastAsia="Times New Roman" w:hAnsi="Times New Roman"/>
          <w:sz w:val="14"/>
          <w:szCs w:val="14"/>
          <w:i w:val="1"/>
          <w:iCs w:val="1"/>
          <w:color w:val="auto"/>
        </w:rPr>
        <w:t>Certificate of Incorporation and Bylaws</w:t>
      </w:r>
      <w:r>
        <w:rPr>
          <w:rFonts w:ascii="Times New Roman" w:cs="Times New Roman" w:eastAsia="Times New Roman" w:hAnsi="Times New Roman"/>
          <w:sz w:val="14"/>
          <w:szCs w:val="14"/>
          <w:color w:val="auto"/>
        </w:rPr>
        <w:t>. Our amended and restated certificate of incorporation and amended and restated bylaws include a number of provisions that may deter or impede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hostile takeovers or changes of control or management. These provisions include:</w:t>
      </w:r>
    </w:p>
    <w:p>
      <w:pPr>
        <w:spacing w:after="0" w:line="120" w:lineRule="exact"/>
        <w:rPr>
          <w:sz w:val="20"/>
          <w:szCs w:val="20"/>
          <w:color w:val="auto"/>
        </w:rPr>
      </w:pPr>
    </w:p>
    <w:p>
      <w:pPr>
        <w:jc w:val="both"/>
        <w:ind w:firstLine="256"/>
        <w:spacing w:after="0" w:line="274" w:lineRule="auto"/>
        <w:rPr>
          <w:sz w:val="20"/>
          <w:szCs w:val="20"/>
          <w:color w:val="auto"/>
        </w:rPr>
      </w:pPr>
      <w:r>
        <w:rPr>
          <w:rFonts w:ascii="Times New Roman" w:cs="Times New Roman" w:eastAsia="Times New Roman" w:hAnsi="Times New Roman"/>
          <w:sz w:val="14"/>
          <w:szCs w:val="14"/>
          <w:i w:val="1"/>
          <w:iCs w:val="1"/>
          <w:color w:val="auto"/>
        </w:rPr>
        <w:t>Issuance of Undesignated Preferred Stock</w:t>
      </w:r>
      <w:r>
        <w:rPr>
          <w:rFonts w:ascii="Times New Roman" w:cs="Times New Roman" w:eastAsia="Times New Roman" w:hAnsi="Times New Roman"/>
          <w:sz w:val="14"/>
          <w:szCs w:val="14"/>
          <w:color w:val="auto"/>
        </w:rPr>
        <w:t>. Under our certificate of incorporation, our board of directors has the authority, without further action by the stockholders, to issue up to 10,000,000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undesignated preferred stock with rights and preferences, including voting rights, designated from time to time by the board of directors. The existence of authorized but unissued shares of preferred stock enables our board of directors to make it more difficult or to discourage an attempt to obtain control of us by means of a merger, tender offer, proxy contest or otherwise.</w:t>
      </w:r>
    </w:p>
    <w:p>
      <w:pPr>
        <w:spacing w:after="0" w:line="133" w:lineRule="exact"/>
        <w:rPr>
          <w:sz w:val="20"/>
          <w:szCs w:val="20"/>
          <w:color w:val="auto"/>
        </w:rPr>
      </w:pPr>
    </w:p>
    <w:p>
      <w:pPr>
        <w:jc w:val="both"/>
        <w:ind w:firstLine="256"/>
        <w:spacing w:after="0" w:line="274" w:lineRule="auto"/>
        <w:rPr>
          <w:sz w:val="20"/>
          <w:szCs w:val="20"/>
          <w:color w:val="auto"/>
        </w:rPr>
      </w:pPr>
      <w:r>
        <w:rPr>
          <w:rFonts w:ascii="Times New Roman" w:cs="Times New Roman" w:eastAsia="Times New Roman" w:hAnsi="Times New Roman"/>
          <w:sz w:val="14"/>
          <w:szCs w:val="14"/>
          <w:i w:val="1"/>
          <w:iCs w:val="1"/>
          <w:color w:val="auto"/>
        </w:rPr>
        <w:t>Classified Board</w:t>
      </w:r>
      <w:r>
        <w:rPr>
          <w:rFonts w:ascii="Times New Roman" w:cs="Times New Roman" w:eastAsia="Times New Roman" w:hAnsi="Times New Roman"/>
          <w:sz w:val="14"/>
          <w:szCs w:val="14"/>
          <w:color w:val="auto"/>
        </w:rPr>
        <w:t>. Our certificate of incorporation provides for a classified board of directors consisting of three classes of directors, with staggered three-year terms. Only one class of directors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be elected at each annual meeting of our stockholders, with the other classes continuing for the remainder of their respective three-year terms. This provision may have the effect of delaying a change in control of the board.</w:t>
      </w:r>
    </w:p>
    <w:p>
      <w:pPr>
        <w:spacing w:after="0" w:line="133" w:lineRule="exact"/>
        <w:rPr>
          <w:sz w:val="20"/>
          <w:szCs w:val="20"/>
          <w:color w:val="auto"/>
        </w:rPr>
      </w:pPr>
    </w:p>
    <w:p>
      <w:pPr>
        <w:jc w:val="both"/>
        <w:ind w:firstLine="256"/>
        <w:spacing w:after="0" w:line="274" w:lineRule="auto"/>
        <w:rPr>
          <w:sz w:val="20"/>
          <w:szCs w:val="20"/>
          <w:color w:val="auto"/>
        </w:rPr>
      </w:pPr>
      <w:r>
        <w:rPr>
          <w:rFonts w:ascii="Times New Roman" w:cs="Times New Roman" w:eastAsia="Times New Roman" w:hAnsi="Times New Roman"/>
          <w:sz w:val="14"/>
          <w:szCs w:val="14"/>
          <w:i w:val="1"/>
          <w:iCs w:val="1"/>
          <w:color w:val="auto"/>
        </w:rPr>
        <w:t>Board of Directors Vacancies</w:t>
      </w:r>
      <w:r>
        <w:rPr>
          <w:rFonts w:ascii="Times New Roman" w:cs="Times New Roman" w:eastAsia="Times New Roman" w:hAnsi="Times New Roman"/>
          <w:sz w:val="14"/>
          <w:szCs w:val="14"/>
          <w:color w:val="auto"/>
        </w:rPr>
        <w:t>. Our certificate of incorporation and bylaws authorize only our board of directors to fill vacant directorships. In addition, the number of directors constituting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33" w:lineRule="exact"/>
        <w:rPr>
          <w:sz w:val="20"/>
          <w:szCs w:val="20"/>
          <w:color w:val="auto"/>
        </w:rPr>
      </w:pPr>
    </w:p>
    <w:p>
      <w:pPr>
        <w:jc w:val="both"/>
        <w:ind w:firstLine="256"/>
        <w:spacing w:after="0" w:line="267" w:lineRule="auto"/>
        <w:rPr>
          <w:sz w:val="20"/>
          <w:szCs w:val="20"/>
          <w:color w:val="auto"/>
        </w:rPr>
      </w:pPr>
      <w:r>
        <w:rPr>
          <w:rFonts w:ascii="Times New Roman" w:cs="Times New Roman" w:eastAsia="Times New Roman" w:hAnsi="Times New Roman"/>
          <w:sz w:val="14"/>
          <w:szCs w:val="14"/>
          <w:i w:val="1"/>
          <w:iCs w:val="1"/>
          <w:color w:val="auto"/>
        </w:rPr>
        <w:t>Stockholder Action; Special Meetings of Stockholders</w:t>
      </w:r>
      <w:r>
        <w:rPr>
          <w:rFonts w:ascii="Times New Roman" w:cs="Times New Roman" w:eastAsia="Times New Roman" w:hAnsi="Times New Roman"/>
          <w:sz w:val="14"/>
          <w:szCs w:val="14"/>
          <w:color w:val="auto"/>
        </w:rPr>
        <w:t>. Our certificate of incorporation provides that our stockholders may not take action by written consent and may only take action at annual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special meetings of our stockholders. Stockholders will not be permitted to cumulate their votes for the election of directors. Our bylaws further provide that special meetings of our stockholders may be called only by a majority of our board of directors, the chairman of our board of directors, or our chief executive officer. These provisions may prevent stockholders from corporate actions as stockholders at times when they otherwise would like to do so.</w:t>
      </w:r>
    </w:p>
    <w:p>
      <w:pPr>
        <w:spacing w:after="0" w:line="139" w:lineRule="exact"/>
        <w:rPr>
          <w:sz w:val="20"/>
          <w:szCs w:val="20"/>
          <w:color w:val="auto"/>
        </w:rPr>
      </w:pPr>
    </w:p>
    <w:p>
      <w:pPr>
        <w:jc w:val="both"/>
        <w:ind w:firstLine="256"/>
        <w:spacing w:after="0" w:line="267" w:lineRule="auto"/>
        <w:rPr>
          <w:sz w:val="20"/>
          <w:szCs w:val="20"/>
          <w:color w:val="auto"/>
        </w:rPr>
      </w:pPr>
      <w:r>
        <w:rPr>
          <w:rFonts w:ascii="Times New Roman" w:cs="Times New Roman" w:eastAsia="Times New Roman" w:hAnsi="Times New Roman"/>
          <w:sz w:val="14"/>
          <w:szCs w:val="14"/>
          <w:i w:val="1"/>
          <w:iCs w:val="1"/>
          <w:color w:val="auto"/>
        </w:rPr>
        <w:t>Advance Notice Requirements for Stockholder Proposals and Director Nominations</w:t>
      </w:r>
      <w:r>
        <w:rPr>
          <w:rFonts w:ascii="Times New Roman" w:cs="Times New Roman" w:eastAsia="Times New Roman" w:hAnsi="Times New Roman"/>
          <w:sz w:val="14"/>
          <w:szCs w:val="14"/>
          <w:color w:val="auto"/>
        </w:rPr>
        <w:t>. Our bylaws provide advance notice procedures for stockholders seeking to bring business before our annual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meeting of stockholders, or to nominate candidates for election as directors at our annual meeting of stockholders. Our bylaws also specify certain requirements as to the form and content of a stockholder’s notice. These provisions may make it more difficult for our stockholders to bring matters before our annual meeting of stockholders or to nominate directors at our annual meeting of stockholders.</w:t>
      </w:r>
    </w:p>
    <w:p>
      <w:pPr>
        <w:spacing w:after="0" w:line="141"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203 of the Delaware General Corporation Law</w:t>
      </w:r>
    </w:p>
    <w:p>
      <w:pPr>
        <w:spacing w:after="0" w:line="183" w:lineRule="exact"/>
        <w:rPr>
          <w:sz w:val="20"/>
          <w:szCs w:val="20"/>
          <w:color w:val="auto"/>
        </w:rPr>
      </w:pPr>
    </w:p>
    <w:p>
      <w:pPr>
        <w:jc w:val="both"/>
        <w:ind w:firstLine="256"/>
        <w:spacing w:after="0" w:line="270" w:lineRule="auto"/>
        <w:rPr>
          <w:sz w:val="20"/>
          <w:szCs w:val="20"/>
          <w:color w:val="auto"/>
        </w:rPr>
      </w:pPr>
      <w:r>
        <w:rPr>
          <w:rFonts w:ascii="Times New Roman" w:cs="Times New Roman" w:eastAsia="Times New Roman" w:hAnsi="Times New Roman"/>
          <w:sz w:val="14"/>
          <w:szCs w:val="14"/>
          <w:color w:val="auto"/>
        </w:rPr>
        <w:t>We are subject to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312" w:lineRule="exact"/>
        <w:rPr>
          <w:sz w:val="20"/>
          <w:szCs w:val="20"/>
          <w:color w:val="auto"/>
        </w:rPr>
      </w:pPr>
    </w:p>
    <w:p>
      <w:pPr>
        <w:ind w:left="5600" w:right="3120" w:hanging="5338"/>
        <w:spacing w:after="0" w:line="408" w:lineRule="auto"/>
        <w:tabs>
          <w:tab w:leader="none" w:pos="51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approved by the board of directors prior to the time that the interested stockholder became an interested stockholder;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229235</wp:posOffset>
            </wp:positionV>
            <wp:extent cx="7160895"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3" w:name="page14"/>
    <w:bookmarkEnd w:id="13"/>
    <w:p>
      <w:pPr>
        <w:ind w:left="520" w:hanging="258"/>
        <w:spacing w:after="0" w:line="290"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stockholder’s becoming an interested stockholder, the interested stockholder owned at least 85% of the voting stock of the corporation outstanding at the time the transaction commenced; or</w:t>
      </w:r>
    </w:p>
    <w:p>
      <w:pPr>
        <w:spacing w:after="0" w:line="124" w:lineRule="exact"/>
        <w:rPr>
          <w:rFonts w:ascii="Times New Roman" w:cs="Times New Roman" w:eastAsia="Times New Roman" w:hAnsi="Times New Roman"/>
          <w:sz w:val="14"/>
          <w:szCs w:val="14"/>
          <w:color w:val="auto"/>
        </w:rPr>
      </w:pPr>
    </w:p>
    <w:p>
      <w:pPr>
        <w:ind w:left="520" w:hanging="258"/>
        <w:spacing w:after="0" w:line="290"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general, Section 203 defines “business combination” to include the following:</w:t>
      </w:r>
    </w:p>
    <w:p>
      <w:pPr>
        <w:spacing w:after="0" w:line="181" w:lineRule="exact"/>
        <w:rPr>
          <w:sz w:val="20"/>
          <w:szCs w:val="20"/>
          <w:color w:val="auto"/>
        </w:rPr>
      </w:pPr>
    </w:p>
    <w:p>
      <w:pPr>
        <w:ind w:left="520" w:hanging="258"/>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pledge or other disposition of 10% or more of the assets of the corporation involving the interested stockholder;</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any transaction that results in the issuance or transfer by the corporation of any stock of the corporation to the interested stockholder;</w:t>
      </w:r>
    </w:p>
    <w:p>
      <w:pPr>
        <w:spacing w:after="0" w:line="202" w:lineRule="exact"/>
        <w:rPr>
          <w:rFonts w:ascii="Times New Roman" w:cs="Times New Roman" w:eastAsia="Times New Roman" w:hAnsi="Times New Roman"/>
          <w:sz w:val="14"/>
          <w:szCs w:val="14"/>
          <w:color w:val="auto"/>
        </w:rPr>
      </w:pPr>
    </w:p>
    <w:p>
      <w:pPr>
        <w:ind w:left="520" w:hanging="258"/>
        <w:spacing w:after="0" w:line="290"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or any class or series of the corporation beneficially owned by the interested stockholder; or</w:t>
      </w:r>
    </w:p>
    <w:p>
      <w:pPr>
        <w:spacing w:after="0" w:line="124"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loss, advances, guarantees, pledges or other financial benefits by or through the corporation.</w:t>
      </w:r>
    </w:p>
    <w:p>
      <w:pPr>
        <w:spacing w:after="0" w:line="202"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24"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and do not plan to do so. The statute could prohibit or delay mergers or other takeover or change in control attempts and, accordingly, may discourage attempts to acquire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Nantahala Board Nomination Right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Pursuant to certain securities purchase agreements we entered into with Nantahala Capital Management, LLC and its affiliates (collectively, Nantahala) in January 2024, for so long as Nantahala beneficially own securities representing at least 10% of the voting power of all our common stock then outstanding (including for purposes of such calculation, assuming the exercise in full of any derivative securities then beneficially owned by Nantahala and not giving effect to any contractual prohibition on exercise contained therein), Nantahala shall have the right, subject to compliance with the applicable rules and regulations of The Nasdaq Stock Market, to designate one member of our board of directors, or the Nantahala Board Representative. In connection with this nomination right, we appointed Abhinav Jain as the Nantahala Board Representative to serve as a Class II Director to hold office for the balance of a term expiring at our 2025 annual meeting of stockholders and until his successor has been duly elected and qualified, or until his earlier death, resignation or removal. At our 2025 annual meeting held in October 2025, Mr. Jain was reelected as a Class II Director to hold office for a term expiring at our 2028 annual meeting of stockholders or until his successor has been duly elected and qualified, or until his earlier death, resignation or removal. We also agreed that if requested by Nantahala, and subject to compliance with the applicable rules and regulations of The Nasdaq Stock Market, the Nantahala Board Representative shall be appointed to such committees of the board of directors that now exist or may be established pursuant to our governing documents or by the board of directors from time to time. For as long as Nantahala holds the right to designate a member of the board of directors, we will not, without the affirmative consent of the Nantahala Board Representative, increase the size of the board of directors to more than ten members.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Listing on The Nasdaq Capital Market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“TLPH.”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Computershare, Inc.: 1-800-736-3001. The transfer agent’s address is 250 Royall Street, Canton, Massachusetts 02021.</w:t>
      </w:r>
    </w:p>
    <w:p>
      <w:pPr>
        <w:spacing w:after="0" w:line="1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0300"/>
          </w:cols>
          <w:pgMar w:left="300" w:top="486" w:right="12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3"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The selling stockholders may offer and sell, from time to time, any or all of the shares of common stock being offered for resale by this prospectus, which consists of up to 639,931 shares of common stock and 6,399,316 shares of common stock issuable upon exercise of the pre-funded warrants. For additional information regarding the issuance of these securities, see the section titled “Prospectus Summary - Private Placement of Common Stock and Pre-Funded Warrants.”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selling stockholders have not had any material relationship with us within the past three years, except for:</w:t>
      </w:r>
    </w:p>
    <w:p>
      <w:pPr>
        <w:spacing w:after="0" w:line="181" w:lineRule="exact"/>
        <w:rPr>
          <w:sz w:val="20"/>
          <w:szCs w:val="20"/>
          <w:color w:val="auto"/>
        </w:rPr>
      </w:pPr>
    </w:p>
    <w:p>
      <w:pPr>
        <w:ind w:left="520" w:hanging="258"/>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our securities, and</w:t>
      </w:r>
    </w:p>
    <w:p>
      <w:pPr>
        <w:spacing w:after="0" w:line="202" w:lineRule="exact"/>
        <w:rPr>
          <w:rFonts w:ascii="Times New Roman" w:cs="Times New Roman" w:eastAsia="Times New Roman" w:hAnsi="Times New Roman"/>
          <w:sz w:val="14"/>
          <w:szCs w:val="14"/>
          <w:color w:val="auto"/>
        </w:rPr>
      </w:pPr>
    </w:p>
    <w:p>
      <w:pPr>
        <w:ind w:left="560" w:hanging="298"/>
        <w:spacing w:after="0" w:line="290" w:lineRule="auto"/>
        <w:tabs>
          <w:tab w:leader="none" w:pos="5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granted Nantahala Management, LLC a board of director nomination right in connection with a private placement in January 2024, see the section titled “Description of Capital Stock – Nantahala Board Nomination Right”.</w:t>
      </w:r>
    </w:p>
    <w:p>
      <w:pPr>
        <w:spacing w:after="0" w:line="124"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As used in this prospectus, the term “selling stockholders” includes the selling stockholders listed in the table below, together with any additional selling stockholders listed in a subsequent amendment to this prospectus, and their donees, pledgees, assignees, transferees, distributees and successors-in-interest that receive shares in any non-sale transfer after the date of this prospectus.</w:t>
      </w:r>
    </w:p>
    <w:p>
      <w:pPr>
        <w:spacing w:after="0" w:line="124" w:lineRule="exact"/>
        <w:rPr>
          <w:sz w:val="20"/>
          <w:szCs w:val="20"/>
          <w:color w:val="auto"/>
        </w:rPr>
      </w:pPr>
    </w:p>
    <w:p>
      <w:pPr>
        <w:jc w:val="both"/>
        <w:ind w:firstLine="256"/>
        <w:spacing w:after="0" w:line="263" w:lineRule="auto"/>
        <w:rPr>
          <w:sz w:val="20"/>
          <w:szCs w:val="20"/>
          <w:color w:val="auto"/>
        </w:rPr>
      </w:pPr>
      <w:r>
        <w:rPr>
          <w:rFonts w:ascii="Times New Roman" w:cs="Times New Roman" w:eastAsia="Times New Roman" w:hAnsi="Times New Roman"/>
          <w:sz w:val="14"/>
          <w:szCs w:val="14"/>
          <w:color w:val="auto"/>
        </w:rPr>
        <w:t>In accordance with the terms of a registration rights agreement with the selling stockholders, this prospectus covers the resale of the number of shares of common stock issued to the selling stockholders and the maximum number of shares of common stock issuable upon exercise of the pre-funded warrants without regard to any limitations on the exercise of such warrants. Under the terms of the pre-funded warrants held by selling stockholders, a selling stockholder may not exercise any such warrants to the extent such exercise would cause such selling stockholder, together with its affiliates and attribution parties, to beneficially own a number of shares of common stock which would exceed 4.99% or 9.99%, as applicable, of our then outstanding shares common stock following such exercise, excluding for purposes of such determination shares of common stock issuable upon exercise of such warrants which have not been exercised.</w:t>
      </w:r>
    </w:p>
    <w:p>
      <w:pPr>
        <w:spacing w:after="0" w:line="144" w:lineRule="exact"/>
        <w:rPr>
          <w:sz w:val="20"/>
          <w:szCs w:val="20"/>
          <w:color w:val="auto"/>
        </w:rPr>
      </w:pPr>
    </w:p>
    <w:p>
      <w:pPr>
        <w:jc w:val="both"/>
        <w:ind w:firstLine="256"/>
        <w:spacing w:after="0" w:line="259" w:lineRule="auto"/>
        <w:rPr>
          <w:sz w:val="20"/>
          <w:szCs w:val="20"/>
          <w:color w:val="auto"/>
        </w:rPr>
      </w:pPr>
      <w:r>
        <w:rPr>
          <w:rFonts w:ascii="Times New Roman" w:cs="Times New Roman" w:eastAsia="Times New Roman" w:hAnsi="Times New Roman"/>
          <w:sz w:val="14"/>
          <w:szCs w:val="14"/>
          <w:color w:val="auto"/>
        </w:rPr>
        <w:t>The table below lists the selling stockholders and other information regarding the beneficial ownership of the shares of common stock by each of the selling stockholders as of March 16, 2026, assuming the full exercise of warrants held by the selling stockholders on that date, without regard to any limitations on exercises. As of March 16, 2026, we had 50,049,824 shares of common stock issued and outstanding. The following table also provides the number of shares of common stock that may be sold by each selling stockholder under this prospectus and that each selling stockholder will beneficially own assuming all the shares of common stock that may be offered pursuant to this prospectus are sold. Because each selling stockholder may dispose of all, none or some portion of their shares of common stock, no estimate can be given as to the number of shares of common stock that will be beneficially owned by a selling stockholder upon termination of this offering. For purposes of the table below; however, we have assumed that after termination of this offering none of the shares of common stock covered by this prospectus will be beneficially owned by the selling stockholders and further assumed that the selling stockholders will not acquire beneficial ownership of any additional securities during the offering. In addition, the selling stockholders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See the section titled “Plan of Distribution.”</w:t>
      </w:r>
    </w:p>
    <w:p>
      <w:pPr>
        <w:spacing w:after="0" w:line="147"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We are only registering pursuant to the registration statement of which this prospectus forms a part (i) the shares of common stock and (ii) the shares of common stock issuable upon exercise of the pre-funded warrants that were issued and sold in the Third Closing of the 2025 Private Placement. The table below does not include any shares of common stock or pre-funded warrants that the selling stockholder has the right to purchase in the potential optional closing of the 2025 Private Placement, nor does it include any shares of common stock or pre-funded warrants that the selling stockholder has the right to purchase in the potential second closing of the private placement we consummated in September 2025.</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3"/>
          </w:tcPr>
          <w:p>
            <w:pPr>
              <w:jc w:val="center"/>
              <w:ind w:left="789"/>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60" w:type="dxa"/>
            <w:vAlign w:val="bottom"/>
            <w:tcBorders>
              <w:bottom w:val="single" w:sz="8" w:color="auto"/>
            </w:tcBorders>
            <w:gridSpan w:val="3"/>
          </w:tcPr>
          <w:p>
            <w:pPr>
              <w:jc w:val="center"/>
              <w:ind w:left="769"/>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45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Being Offered</w:t>
            </w:r>
          </w:p>
        </w:tc>
        <w:tc>
          <w:tcPr>
            <w:tcW w:w="240" w:type="dxa"/>
            <w:vAlign w:val="bottom"/>
          </w:tcPr>
          <w:p>
            <w:pPr>
              <w:spacing w:after="0"/>
              <w:rPr>
                <w:sz w:val="14"/>
                <w:szCs w:val="14"/>
                <w:color w:val="auto"/>
              </w:rPr>
            </w:pPr>
          </w:p>
        </w:tc>
        <w:tc>
          <w:tcPr>
            <w:tcW w:w="14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2"/>
        </w:trPr>
        <w:tc>
          <w:tcPr>
            <w:tcW w:w="4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Blackwell Partners LLC – Series A</w:t>
            </w:r>
            <w:r>
              <w:rPr>
                <w:rFonts w:ascii="Times New Roman" w:cs="Times New Roman" w:eastAsia="Times New Roman" w:hAnsi="Times New Roman"/>
                <w:sz w:val="18"/>
                <w:szCs w:val="18"/>
                <w:color w:val="auto"/>
                <w:vertAlign w:val="superscript"/>
              </w:rPr>
              <w:t>(1)</w:t>
            </w:r>
          </w:p>
        </w:tc>
        <w:tc>
          <w:tcPr>
            <w:tcW w:w="1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13,128,824</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2,065,070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11,063,754</w:t>
            </w:r>
          </w:p>
        </w:tc>
        <w:tc>
          <w:tcPr>
            <w:tcW w:w="6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w:t>
            </w:r>
          </w:p>
        </w:tc>
      </w:tr>
      <w:tr>
        <w:trPr>
          <w:trHeight w:val="171"/>
        </w:trPr>
        <w:tc>
          <w:tcPr>
            <w:tcW w:w="452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Investor Company ITF Rosalind Master Fund L.P.</w:t>
            </w:r>
            <w:r>
              <w:rPr>
                <w:rFonts w:ascii="Times New Roman" w:cs="Times New Roman" w:eastAsia="Times New Roman" w:hAnsi="Times New Roman"/>
                <w:sz w:val="19"/>
                <w:szCs w:val="19"/>
                <w:color w:val="auto"/>
                <w:vertAlign w:val="superscript"/>
              </w:rPr>
              <w:t>(2)</w:t>
            </w: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12,938,493</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2,133,105</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10,805,388</w:t>
            </w:r>
          </w:p>
        </w:tc>
        <w:tc>
          <w:tcPr>
            <w:tcW w:w="6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18.8</w:t>
            </w:r>
          </w:p>
        </w:tc>
      </w:tr>
      <w:tr>
        <w:trPr>
          <w:trHeight w:val="171"/>
        </w:trPr>
        <w:tc>
          <w:tcPr>
            <w:tcW w:w="45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Pinehurst Partners, L.P.</w:t>
            </w:r>
            <w:r>
              <w:rPr>
                <w:rFonts w:ascii="Times New Roman" w:cs="Times New Roman" w:eastAsia="Times New Roman" w:hAnsi="Times New Roman"/>
                <w:sz w:val="19"/>
                <w:szCs w:val="19"/>
                <w:color w:val="auto"/>
                <w:vertAlign w:val="superscript"/>
              </w:rPr>
              <w:t>(3)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5,012,828</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890,530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4,122,298</w:t>
            </w:r>
          </w:p>
        </w:tc>
        <w:tc>
          <w:tcPr>
            <w:tcW w:w="6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r>
      <w:tr>
        <w:trPr>
          <w:trHeight w:val="171"/>
        </w:trPr>
        <w:tc>
          <w:tcPr>
            <w:tcW w:w="452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Nantahala Capital Partners Limited Partnership </w:t>
            </w:r>
            <w:r>
              <w:rPr>
                <w:rFonts w:ascii="Times New Roman" w:cs="Times New Roman" w:eastAsia="Times New Roman" w:hAnsi="Times New Roman"/>
                <w:sz w:val="19"/>
                <w:szCs w:val="19"/>
                <w:color w:val="auto"/>
                <w:vertAlign w:val="superscript"/>
              </w:rPr>
              <w:t>(4)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4,349,456</w:t>
            </w:r>
          </w:p>
        </w:tc>
        <w:tc>
          <w:tcPr>
            <w:tcW w:w="240" w:type="dxa"/>
            <w:vAlign w:val="bottom"/>
          </w:tcPr>
          <w:p>
            <w:pPr>
              <w:spacing w:after="0"/>
              <w:rPr>
                <w:sz w:val="14"/>
                <w:szCs w:val="14"/>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700,442</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3,649,014</w:t>
            </w:r>
          </w:p>
        </w:tc>
        <w:tc>
          <w:tcPr>
            <w:tcW w:w="6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w:t>
            </w:r>
          </w:p>
        </w:tc>
      </w:tr>
      <w:tr>
        <w:trPr>
          <w:trHeight w:val="171"/>
        </w:trPr>
        <w:tc>
          <w:tcPr>
            <w:tcW w:w="45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NCP RFM LP </w:t>
            </w:r>
            <w:r>
              <w:rPr>
                <w:rFonts w:ascii="Times New Roman" w:cs="Times New Roman" w:eastAsia="Times New Roman" w:hAnsi="Times New Roman"/>
                <w:sz w:val="19"/>
                <w:szCs w:val="19"/>
                <w:color w:val="auto"/>
                <w:vertAlign w:val="superscript"/>
              </w:rPr>
              <w:t>(5)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3,910,769</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610,169</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3,300,600</w:t>
            </w:r>
          </w:p>
        </w:tc>
        <w:tc>
          <w:tcPr>
            <w:tcW w:w="6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w:t>
            </w:r>
          </w:p>
        </w:tc>
      </w:tr>
      <w:tr>
        <w:trPr>
          <w:trHeight w:val="171"/>
        </w:trPr>
        <w:tc>
          <w:tcPr>
            <w:tcW w:w="452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Michael M. Kellen – Descendants 2012 GST Trust </w:t>
            </w:r>
            <w:r>
              <w:rPr>
                <w:rFonts w:ascii="Times New Roman" w:cs="Times New Roman" w:eastAsia="Times New Roman" w:hAnsi="Times New Roman"/>
                <w:sz w:val="19"/>
                <w:szCs w:val="19"/>
                <w:color w:val="auto"/>
                <w:vertAlign w:val="superscript"/>
              </w:rPr>
              <w:t>(6)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1,307,787</w:t>
            </w:r>
          </w:p>
        </w:tc>
        <w:tc>
          <w:tcPr>
            <w:tcW w:w="240" w:type="dxa"/>
            <w:vAlign w:val="bottom"/>
          </w:tcPr>
          <w:p>
            <w:pPr>
              <w:spacing w:after="0"/>
              <w:rPr>
                <w:sz w:val="14"/>
                <w:szCs w:val="14"/>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426,621</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881,166</w:t>
            </w:r>
          </w:p>
        </w:tc>
        <w:tc>
          <w:tcPr>
            <w:tcW w:w="6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45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Vincent J. Angotti </w:t>
            </w:r>
            <w:r>
              <w:rPr>
                <w:rFonts w:ascii="Times New Roman" w:cs="Times New Roman" w:eastAsia="Times New Roman" w:hAnsi="Times New Roman"/>
                <w:sz w:val="19"/>
                <w:szCs w:val="19"/>
                <w:color w:val="auto"/>
                <w:vertAlign w:val="superscript"/>
              </w:rPr>
              <w:t>(7)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1,125,431</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213,310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912,121</w:t>
            </w:r>
          </w:p>
        </w:tc>
        <w:tc>
          <w:tcPr>
            <w:tcW w:w="6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945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455" cy="6985"/>
                    </a:xfrm>
                    <a:prstGeom prst="rect">
                      <a:avLst/>
                    </a:prstGeom>
                    <a:noFill/>
                  </pic:spPr>
                </pic:pic>
              </a:graphicData>
            </a:graphic>
          </wp:anchor>
        </w:drawing>
      </w:r>
    </w:p>
    <w:p>
      <w:pPr>
        <w:spacing w:after="0" w:line="233" w:lineRule="exact"/>
        <w:rPr>
          <w:sz w:val="20"/>
          <w:szCs w:val="20"/>
          <w:color w:val="auto"/>
        </w:rPr>
      </w:pPr>
    </w:p>
    <w:p>
      <w:pPr>
        <w:jc w:val="both"/>
        <w:ind w:left="260" w:hanging="254"/>
        <w:spacing w:after="0" w:line="258"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the following securities: (i) 2,065,070 shares of common stock issuable upon exercise of pre-funded warrants issued in the Third Closing of the 2025 Private Placement, (ii) 6,426,913 shares of common stock issuable upon the exercise of additional pre-funded warrants, (iii) 1,856,349 shares of common stock, (iv) 1,390,246 shares of common stock issuable upon the exercise of Series A common stock warrants, and (v) 1,390,246 shares of common stock issuable upon the exercise of Series B common stock warrants. 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B. Harkey and Daniel Mack are managing members of Nantahala Capital Management, LLC and may be deemed to have voting and dispositive power over the shares held by the selling stockholder. The pre-funded warrants, Series A common stock and Series B common stock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Blackwell Partners LLC – Series A is c/o Nantahala Capital Management, LLC, 130 Main St. 2nd Floor, New Canaan, CT 06840.</w:t>
      </w:r>
    </w:p>
    <w:p>
      <w:pPr>
        <w:spacing w:after="0" w:line="148" w:lineRule="exact"/>
        <w:rPr>
          <w:rFonts w:ascii="Times New Roman" w:cs="Times New Roman" w:eastAsia="Times New Roman" w:hAnsi="Times New Roman"/>
          <w:sz w:val="14"/>
          <w:szCs w:val="14"/>
          <w:color w:val="auto"/>
        </w:rPr>
      </w:pPr>
    </w:p>
    <w:p>
      <w:pPr>
        <w:jc w:val="both"/>
        <w:ind w:left="260" w:hanging="254"/>
        <w:spacing w:after="0" w:line="260"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the following securities: (i) 2,133,105 shares of common stock issuable upon the exercise of pre-funded warrants issued in the Third Closing of the 2025 Private Placement, (ii) 4,497,396 shares of common stock issuable upon the exercise of additional pre-funded warrants, (iii) 3,366,812 shares of common stock, (iv) 1,470,590 shares of common stock issuable upon the exercise of Series A common stock warrants, and (v) 1,470,590 shares of common stock issuable upon the exercise of Series B common stock warrants. Each of Rosalind Advisors, Inc., Steven Salamon, and Gilad Aharon have shared voting and dispositive power with respect to these securities. The pre-funded warrants, Series A common stock and Series B common stock warrants are subject to a beneficial ownership limitation of 4.99% or 9.99%, as the case may be,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for Rosalind Advisors, Inc., Mr. Salamon and Mr. Aharon is 15 Wellesley Street West, Suite 326, Toronto, Ontario, M4Y 0G7 Canada. The address of Investor Company ITF Rosalind Master Fund L.P. is c/o TD Waterhouse, 77 Bloor Street West, 3rd Floor, Toronto, ON M5S 1M2 Canada.</w:t>
      </w:r>
    </w:p>
    <w:p>
      <w:pPr>
        <w:spacing w:after="0" w:line="144" w:lineRule="exact"/>
        <w:rPr>
          <w:rFonts w:ascii="Times New Roman" w:cs="Times New Roman" w:eastAsia="Times New Roman" w:hAnsi="Times New Roman"/>
          <w:sz w:val="14"/>
          <w:szCs w:val="14"/>
          <w:color w:val="auto"/>
        </w:rPr>
      </w:pPr>
    </w:p>
    <w:p>
      <w:pPr>
        <w:jc w:val="both"/>
        <w:ind w:left="260" w:hanging="254"/>
        <w:spacing w:after="0" w:line="259"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(i) 890,530 shares of common stock issuable upon the exercise of pre-funded warrants issued in the Third Closing of the 2025 Private Placement, (ii) 3,805,815 shares of common stock issuable upon the exercise of additional pre-funded warrants, and (iii) 316,483 shares of common stock. 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B. Harkey and Daniel Mack are managing members of Nantahala Capital Management, LLC and may be deemed to have voting and dispositive power over the shares held by the selling stockholder. The pre-funded warrants are subject to a beneficial ownership limitation of 9.99%, which such limitation restricts the selling stockholder from exercising that portion of the pre-funded warrants that would result in the selling stockholder and its affiliates owning, after exercise, a number of shares of common stock in excess of the beneficial ownership limitation. The address of Pinehurst Partners, L.P. is c/o Corporation Trust Center, 1209 Orange Street, Wilmington, DE 19801.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7" w:name="page18"/>
    <w:bookmarkEnd w:id="17"/>
    <w:p>
      <w:pPr>
        <w:jc w:val="both"/>
        <w:ind w:left="260" w:hanging="254"/>
        <w:spacing w:after="0" w:line="258"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(i) 700,442 shares of common stock issuable upon the exercise of pre-funded warrants issued in the Third Closing of the 2025 Private Placement, (ii) 2,134,680 shares of common stock issuable upon the exercise of additional pre-funded warrants, (iii) 762,990 shares of common stock, (iv) 375,672 shares of common stock issuable upon the exercise of Series A common stock warrants, and (v) 375,672 shares of common stock issuable upon the exercise of Series B common stock warrants. 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B. Harkey and Daniel Mack are managing members of Nantahala Capital Management, LLC and may be deemed to have voting and dispositive power over the shares held by the selling stockholder. The pre-funded warrants, and Series A common stock and Series B common stock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Nantahala Capital Partners Limited Partnership is 130 Main St. 2nd Floor, New Canaan, CT 06840.</w:t>
      </w:r>
    </w:p>
    <w:p>
      <w:pPr>
        <w:spacing w:after="0" w:line="148" w:lineRule="exact"/>
        <w:rPr>
          <w:rFonts w:ascii="Times New Roman" w:cs="Times New Roman" w:eastAsia="Times New Roman" w:hAnsi="Times New Roman"/>
          <w:sz w:val="14"/>
          <w:szCs w:val="14"/>
          <w:color w:val="auto"/>
        </w:rPr>
      </w:pPr>
    </w:p>
    <w:p>
      <w:pPr>
        <w:jc w:val="both"/>
        <w:ind w:left="260" w:hanging="254"/>
        <w:spacing w:after="0" w:line="258"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(i) 610,169 shares of common stock issuable upon the exercise of pre-funded warrants issued in the Third Closing of the 2025 Private Placement, (ii) 1,863,973 shares of common stock issuable upon the exercise of additional pre-funded warrants, (iii) 556,697 shares of common stock, (iv) 439,965 shares of common stock issuable upon the exercise of Series A common stock warrants, and (v) 439,965 shares of common stock issuable upon the exercise of Series B common stock warrants. 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B. Harkey and Daniel Mack are managing members of Nantahala Capital Management, LLC and may be deemed to have voting and dispositive power over the shares held by the selling stockholder. The pre-funded warrants, and Series A common stock and Series B common stock warrants are subject to a beneficial ownership limitation of 9.99%, which such limitation restricts the selling stockholder from exercising that portion of the pre-funded warrants that would result in the selling stockholder and its affiliates owning, after exercise, a number of shares of common stock in excess of the beneficial ownership limitation. The address of NCP RFM LP is 130 Main St. 2nd Floor, New Canaan, CT 06840.</w:t>
      </w:r>
    </w:p>
    <w:p>
      <w:pPr>
        <w:spacing w:after="0" w:line="150" w:lineRule="exact"/>
        <w:rPr>
          <w:rFonts w:ascii="Times New Roman" w:cs="Times New Roman" w:eastAsia="Times New Roman" w:hAnsi="Times New Roman"/>
          <w:sz w:val="14"/>
          <w:szCs w:val="14"/>
          <w:color w:val="auto"/>
        </w:rPr>
      </w:pPr>
    </w:p>
    <w:p>
      <w:pPr>
        <w:jc w:val="both"/>
        <w:ind w:left="260" w:hanging="254"/>
        <w:spacing w:after="0" w:line="266"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(i) 426,621 shares of common stock issued in the Third Closing of the 2025 Private Placement, and (ii) an additional 881,166 shares of common stock. Each of Andrew Gundlach and Denise Kellen is a trustee of the Michael M. Kellen Descendants 2012 GST Trust (the “Kellen Trust”), and has shared voting and dispositive power with respect to the shares held by the Kellen Trust. The address of the Kellen Trust is c/o BLEICHROEDER LP 1345 Avenue of the Americas, 47th FL, New York, NY 10105-4700.</w:t>
      </w:r>
    </w:p>
    <w:p>
      <w:pPr>
        <w:spacing w:after="0" w:line="141" w:lineRule="exact"/>
        <w:rPr>
          <w:rFonts w:ascii="Times New Roman" w:cs="Times New Roman" w:eastAsia="Times New Roman" w:hAnsi="Times New Roman"/>
          <w:sz w:val="14"/>
          <w:szCs w:val="14"/>
          <w:color w:val="auto"/>
        </w:rPr>
      </w:pPr>
    </w:p>
    <w:p>
      <w:pPr>
        <w:ind w:left="260" w:hanging="254"/>
        <w:spacing w:after="0" w:line="290" w:lineRule="auto"/>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the following securities: (i) 213,310 shares of common stock issued in the Third Closing of the 2025 Private Placement, (ii) 374,085 additional shares of common stock, and (iii) 538,036 shares of common stock issuable upon exercise of stock options issuable within 60 days of March 16, 2026.</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3"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Each selling stockholder and any of their pledgees, assignees and successors-in-interest may, from time to time, sell any or all of their shares of common stock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such shares of common stock:</w:t>
      </w:r>
    </w:p>
    <w:p>
      <w:pPr>
        <w:spacing w:after="0" w:line="105" w:lineRule="exact"/>
        <w:rPr>
          <w:sz w:val="20"/>
          <w:szCs w:val="20"/>
          <w:color w:val="auto"/>
        </w:rPr>
      </w:pPr>
    </w:p>
    <w:p>
      <w:pPr>
        <w:ind w:left="520" w:hanging="258"/>
        <w:spacing w:after="0" w:line="161" w:lineRule="exact"/>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solicits purchasers;</w:t>
      </w:r>
    </w:p>
    <w:p>
      <w:pPr>
        <w:spacing w:after="0" w:line="202" w:lineRule="exact"/>
        <w:rPr>
          <w:rFonts w:ascii="Times New Roman" w:cs="Times New Roman" w:eastAsia="Times New Roman" w:hAnsi="Times New Roman"/>
          <w:sz w:val="14"/>
          <w:szCs w:val="14"/>
          <w:color w:val="auto"/>
        </w:rPr>
      </w:pPr>
    </w:p>
    <w:p>
      <w:pPr>
        <w:ind w:left="520" w:hanging="258"/>
        <w:spacing w:after="0" w:line="161" w:lineRule="exact"/>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will attempt to sell the shares of common stock as agent but may position and resell a portion of the block as principal to facilitate the transaction;</w:t>
      </w:r>
    </w:p>
    <w:p>
      <w:pPr>
        <w:spacing w:after="0" w:line="202" w:lineRule="exact"/>
        <w:rPr>
          <w:rFonts w:ascii="Times New Roman" w:cs="Times New Roman" w:eastAsia="Times New Roman" w:hAnsi="Times New Roman"/>
          <w:sz w:val="14"/>
          <w:szCs w:val="14"/>
          <w:color w:val="auto"/>
        </w:rPr>
      </w:pPr>
    </w:p>
    <w:p>
      <w:pPr>
        <w:ind w:left="520" w:hanging="258"/>
        <w:spacing w:after="0" w:line="161" w:lineRule="exact"/>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as principal and resale by the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for its account;</w:t>
      </w:r>
    </w:p>
    <w:p>
      <w:pPr>
        <w:spacing w:after="0" w:line="233"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w:t>
      </w:r>
    </w:p>
    <w:p>
      <w:pPr>
        <w:spacing w:after="0" w:line="171" w:lineRule="exact"/>
        <w:rPr>
          <w:rFonts w:ascii="Times New Roman" w:cs="Times New Roman" w:eastAsia="Times New Roman" w:hAnsi="Times New Roman"/>
          <w:sz w:val="14"/>
          <w:szCs w:val="14"/>
          <w:color w:val="auto"/>
        </w:rPr>
      </w:pPr>
    </w:p>
    <w:p>
      <w:pPr>
        <w:ind w:left="520" w:hanging="258"/>
        <w:spacing w:after="0" w:line="161" w:lineRule="exact"/>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through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dealers that agree with the selling stockholders to sell a specified number of such shares of common stock at a stipulated price per security;</w:t>
      </w:r>
    </w:p>
    <w:p>
      <w:pPr>
        <w:spacing w:after="0" w:line="233"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or</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202"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The selling stockholders may also sell the shares of common stock under Rule 144 or any other exemption from registration under the Securities Act of 1933, as amended, if available, rather than under this prospectus.</w:t>
      </w:r>
    </w:p>
    <w:p>
      <w:pPr>
        <w:spacing w:after="0" w:line="93" w:lineRule="exact"/>
        <w:rPr>
          <w:sz w:val="20"/>
          <w:szCs w:val="20"/>
          <w:color w:val="auto"/>
        </w:rPr>
      </w:pPr>
    </w:p>
    <w:p>
      <w:pPr>
        <w:jc w:val="both"/>
        <w:ind w:firstLine="256"/>
        <w:spacing w:after="0" w:line="182" w:lineRule="exact"/>
        <w:rPr>
          <w:sz w:val="20"/>
          <w:szCs w:val="20"/>
          <w:color w:val="auto"/>
        </w:rPr>
      </w:pPr>
      <w:r>
        <w:rPr>
          <w:rFonts w:ascii="Times New Roman" w:cs="Times New Roman" w:eastAsia="Times New Roman" w:hAnsi="Times New Roman"/>
          <w:sz w:val="14"/>
          <w:szCs w:val="14"/>
          <w:color w:val="auto"/>
        </w:rPr>
        <w:t>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dealers engaged by the selling stockholders may arrange for other brokers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dealers to participate in sales.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dealers may receive commissions or discounts from the selling stockholders (or, if any broker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59" w:lineRule="exact"/>
        <w:rPr>
          <w:sz w:val="20"/>
          <w:szCs w:val="20"/>
          <w:color w:val="auto"/>
        </w:rPr>
      </w:pPr>
    </w:p>
    <w:p>
      <w:pPr>
        <w:jc w:val="both"/>
        <w:ind w:firstLine="256"/>
        <w:spacing w:after="0" w:line="262" w:lineRule="auto"/>
        <w:rPr>
          <w:sz w:val="20"/>
          <w:szCs w:val="20"/>
          <w:color w:val="auto"/>
        </w:rPr>
      </w:pPr>
      <w:r>
        <w:rPr>
          <w:rFonts w:ascii="Times New Roman" w:cs="Times New Roman" w:eastAsia="Times New Roman" w:hAnsi="Times New Roman"/>
          <w:sz w:val="14"/>
          <w:szCs w:val="14"/>
          <w:color w:val="auto"/>
        </w:rPr>
        <w:t>In connection with the sale of the shares of common stock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the shares of common stock short and deliver these securities to close out their short positions, or loan or pledge the securities to broker-dealers that in turn may sell the shares of the common stock. The selling stockholders may also enter into option or other transactions with broker-dealers or other financial institutions or create one or more derivative securities which require the delivery to such broker-dealer or other financial institution of the shares of common stock offered by this prospectus, which securities such broker-dealer or other financial institution may resell pursuant to this prospectus (as supplemented or amended to reflect such transaction).</w:t>
      </w:r>
    </w:p>
    <w:p>
      <w:pPr>
        <w:spacing w:after="0" w:line="143"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4"/>
          <w:szCs w:val="14"/>
          <w:color w:val="auto"/>
        </w:rPr>
        <w:t>The selling stockholders and any broker-dealers or agents that are involved in selling the shares of common stock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shares of common stock.</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9" w:name="page20"/>
    <w:bookmarkEnd w:id="19"/>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We are required to pay certain fees and expenses incurred by us incident to the registration of the shares of common stock. We have agreed to indemnify the selling stockholders against certain losses, claims, damages and liabilities, including liabilities under the Securities Act.</w:t>
      </w:r>
    </w:p>
    <w:p>
      <w:pPr>
        <w:spacing w:after="0" w:line="124" w:lineRule="exact"/>
        <w:rPr>
          <w:sz w:val="20"/>
          <w:szCs w:val="20"/>
          <w:color w:val="auto"/>
        </w:rPr>
      </w:pPr>
    </w:p>
    <w:p>
      <w:pPr>
        <w:jc w:val="both"/>
        <w:ind w:firstLine="256"/>
        <w:spacing w:after="0" w:line="262" w:lineRule="auto"/>
        <w:rPr>
          <w:sz w:val="20"/>
          <w:szCs w:val="20"/>
          <w:color w:val="auto"/>
        </w:rPr>
      </w:pPr>
      <w:r>
        <w:rPr>
          <w:rFonts w:ascii="Times New Roman" w:cs="Times New Roman" w:eastAsia="Times New Roman" w:hAnsi="Times New Roman"/>
          <w:sz w:val="14"/>
          <w:szCs w:val="14"/>
          <w:color w:val="auto"/>
        </w:rPr>
        <w:t>We have agreed to keep the registration statement of which this prospectus forms a part effective until the earlier of (i) the date on which the shares of common stock may be resold by the selling stockholders without registration and without regard to any volume or manner-of-sale limitations by reason of Rule 144, without the requirement for us to be in compliance with the current public information under Rule 144 under the Securities Act or any other rule of similar effect, and (ii) all of the shares of common stock have been sold pursuant to this prospectus or Rule 144 under the Securities Act or any other rule of similar effect. The shares of common stock will be sold only through registered or licensed brokers or dealers if required under applicable state securities laws. In addition, in certain states, the shares of common stock covered hereby may not be sold unless they have been registered or qualified for sale in the applicable state or an exemption from the registration or qualification requirement is available and is complied with.</w:t>
      </w:r>
    </w:p>
    <w:p>
      <w:pPr>
        <w:spacing w:after="0" w:line="143" w:lineRule="exact"/>
        <w:rPr>
          <w:sz w:val="20"/>
          <w:szCs w:val="20"/>
          <w:color w:val="auto"/>
        </w:rPr>
      </w:pPr>
    </w:p>
    <w:p>
      <w:pPr>
        <w:jc w:val="both"/>
        <w:ind w:firstLine="256"/>
        <w:spacing w:after="0" w:line="263" w:lineRule="auto"/>
        <w:rPr>
          <w:sz w:val="20"/>
          <w:szCs w:val="20"/>
          <w:color w:val="auto"/>
        </w:rPr>
      </w:pPr>
      <w:r>
        <w:rPr>
          <w:rFonts w:ascii="Times New Roman" w:cs="Times New Roman" w:eastAsia="Times New Roman" w:hAnsi="Times New Roman"/>
          <w:sz w:val="14"/>
          <w:szCs w:val="14"/>
          <w:color w:val="auto"/>
        </w:rPr>
        <w:t>Under applicable rules and regulations under the Securities Exchange Act of 1934, as amended, any person engaged in the distribution of the shares of common stock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Securities Exchange Act of 1934, as amended,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Cooley LLP, Palo Alto, California, will pass upon the validity of the shares of our common stock offered by this prospectus.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3"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The financial statements of Talphera, Inc. as of December 31, 2025 and 2024, and for each of the two years in the period ended December 31, 2025 incorporated in this registration statement by reference to the Annual Report on Form 10-K for the year ended December 31, 2025, have been so incorporated in reliance on the report (which report includes an explanatory paragraph relating to Talphera, Inc.’s ability to continue as a going concern) of BPM LLP, an independent registered public accounting firm, given on the authority of said firm as experts in auditing and accounting.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83" w:lineRule="exact"/>
        <w:rPr>
          <w:sz w:val="20"/>
          <w:szCs w:val="20"/>
          <w:color w:val="auto"/>
        </w:rPr>
      </w:pPr>
    </w:p>
    <w:p>
      <w:pPr>
        <w:jc w:val="both"/>
        <w:ind w:firstLine="256"/>
        <w:spacing w:after="0" w:line="262" w:lineRule="auto"/>
        <w:rPr>
          <w:sz w:val="20"/>
          <w:szCs w:val="20"/>
          <w:color w:val="auto"/>
        </w:rPr>
      </w:pPr>
      <w:r>
        <w:rPr>
          <w:rFonts w:ascii="Times New Roman" w:cs="Times New Roman" w:eastAsia="Times New Roman" w:hAnsi="Times New Roman"/>
          <w:sz w:val="14"/>
          <w:szCs w:val="14"/>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website address is http://www.talphera.com. Information contained on or accessible through our website is not a part of this prospectus and is not incorporated by reference herein, and the inclusion of our website address in this prospectus is an inactive textual reference only.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3" w:lineRule="exact"/>
        <w:rPr>
          <w:sz w:val="20"/>
          <w:szCs w:val="20"/>
          <w:color w:val="auto"/>
        </w:rPr>
      </w:pPr>
    </w:p>
    <w:p>
      <w:pPr>
        <w:jc w:val="both"/>
        <w:ind w:firstLine="256"/>
        <w:spacing w:after="0" w:line="178" w:lineRule="exact"/>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(other than current reports furnished under Item 2.02 or Item 7.01 of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and exhibits filed on such form that are related to such items unless such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expressly provides to the contrary):</w:t>
      </w:r>
    </w:p>
    <w:p>
      <w:pPr>
        <w:spacing w:after="0" w:line="137" w:lineRule="exact"/>
        <w:rPr>
          <w:sz w:val="20"/>
          <w:szCs w:val="20"/>
          <w:color w:val="auto"/>
        </w:rPr>
      </w:pPr>
    </w:p>
    <w:p>
      <w:pPr>
        <w:ind w:left="520" w:hanging="258"/>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2025, filed with the SEC on </w:t>
      </w:r>
      <w:hyperlink r:id="rId41">
        <w:r>
          <w:rPr>
            <w:rFonts w:ascii="Times New Roman" w:cs="Times New Roman" w:eastAsia="Times New Roman" w:hAnsi="Times New Roman"/>
            <w:sz w:val="14"/>
            <w:szCs w:val="14"/>
            <w:u w:val="single" w:color="auto"/>
            <w:color w:val="0000EE"/>
          </w:rPr>
          <w:t>March 23, 2026</w:t>
        </w:r>
      </w:hyperlink>
      <w:r>
        <w:rPr>
          <w:rFonts w:ascii="Times New Roman" w:cs="Times New Roman" w:eastAsia="Times New Roman" w:hAnsi="Times New Roman"/>
          <w:sz w:val="14"/>
          <w:szCs w:val="14"/>
          <w:color w:val="auto"/>
        </w:rPr>
        <w:t>;</w:t>
      </w:r>
    </w:p>
    <w:p>
      <w:pPr>
        <w:spacing w:after="0" w:line="171" w:lineRule="exact"/>
        <w:rPr>
          <w:rFonts w:ascii="Times New Roman" w:cs="Times New Roman" w:eastAsia="Times New Roman" w:hAnsi="Times New Roman"/>
          <w:sz w:val="14"/>
          <w:szCs w:val="14"/>
          <w:color w:val="auto"/>
        </w:rPr>
      </w:pPr>
    </w:p>
    <w:p>
      <w:pPr>
        <w:ind w:left="520" w:hanging="258"/>
        <w:spacing w:after="0" w:line="161" w:lineRule="exact"/>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Reports on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K, filed with the SEC on </w:t>
      </w:r>
      <w:hyperlink r:id="rId42">
        <w:r>
          <w:rPr>
            <w:rFonts w:ascii="Times New Roman" w:cs="Times New Roman" w:eastAsia="Times New Roman" w:hAnsi="Times New Roman"/>
            <w:sz w:val="14"/>
            <w:szCs w:val="14"/>
            <w:u w:val="single" w:color="auto"/>
            <w:color w:val="0000EE"/>
          </w:rPr>
          <w:t>March 13,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3">
        <w:r>
          <w:rPr>
            <w:rFonts w:ascii="Times New Roman" w:cs="Times New Roman" w:eastAsia="Times New Roman" w:hAnsi="Times New Roman"/>
            <w:sz w:val="14"/>
            <w:szCs w:val="14"/>
            <w:u w:val="single" w:color="auto"/>
            <w:color w:val="0000EE"/>
          </w:rPr>
          <w:t>March 16, 2026</w:t>
        </w:r>
      </w:hyperlink>
      <w:r>
        <w:rPr>
          <w:rFonts w:ascii="Times New Roman" w:cs="Times New Roman" w:eastAsia="Times New Roman" w:hAnsi="Times New Roman"/>
          <w:sz w:val="14"/>
          <w:szCs w:val="14"/>
          <w:color w:val="auto"/>
        </w:rPr>
        <w:t>.</w:t>
      </w:r>
    </w:p>
    <w:p>
      <w:pPr>
        <w:spacing w:after="0" w:line="233" w:lineRule="exact"/>
        <w:rPr>
          <w:rFonts w:ascii="Times New Roman" w:cs="Times New Roman" w:eastAsia="Times New Roman" w:hAnsi="Times New Roman"/>
          <w:sz w:val="14"/>
          <w:szCs w:val="14"/>
          <w:color w:val="auto"/>
        </w:rPr>
      </w:pPr>
    </w:p>
    <w:p>
      <w:pPr>
        <w:ind w:left="520" w:hanging="258"/>
        <w:spacing w:after="0" w:line="290"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in our registration statement on Form 8-A filed with the SEC on </w:t>
      </w:r>
      <w:hyperlink r:id="rId44">
        <w:r>
          <w:rPr>
            <w:rFonts w:ascii="Times New Roman" w:cs="Times New Roman" w:eastAsia="Times New Roman" w:hAnsi="Times New Roman"/>
            <w:sz w:val="14"/>
            <w:szCs w:val="14"/>
            <w:u w:val="single" w:color="auto"/>
            <w:color w:val="0000EE"/>
          </w:rPr>
          <w:t>February 1, 2011</w:t>
        </w:r>
      </w:hyperlink>
      <w:r>
        <w:rPr>
          <w:rFonts w:ascii="Times New Roman" w:cs="Times New Roman" w:eastAsia="Times New Roman" w:hAnsi="Times New Roman"/>
          <w:sz w:val="14"/>
          <w:szCs w:val="14"/>
          <w:color w:val="auto"/>
        </w:rPr>
        <w:t xml:space="preserve">, as updated by Exhibit 4.1 to our Annual Report on Form 10-K for the year ended December 31, 2020, filed with the SEC on </w:t>
      </w:r>
      <w:hyperlink r:id="rId45">
        <w:r>
          <w:rPr>
            <w:rFonts w:ascii="Times New Roman" w:cs="Times New Roman" w:eastAsia="Times New Roman" w:hAnsi="Times New Roman"/>
            <w:sz w:val="14"/>
            <w:szCs w:val="14"/>
            <w:u w:val="single" w:color="auto"/>
            <w:color w:val="0000EE"/>
          </w:rPr>
          <w:t>March 15, 2021</w:t>
        </w:r>
      </w:hyperlink>
      <w:r>
        <w:rPr>
          <w:rFonts w:ascii="Times New Roman" w:cs="Times New Roman" w:eastAsia="Times New Roman" w:hAnsi="Times New Roman"/>
          <w:sz w:val="14"/>
          <w:szCs w:val="14"/>
          <w:color w:val="auto"/>
        </w:rPr>
        <w:t>, and any amendments or reports filed for the purpose of updating such description.</w:t>
      </w:r>
    </w:p>
    <w:p>
      <w:pPr>
        <w:spacing w:after="0" w:line="124" w:lineRule="exact"/>
        <w:rPr>
          <w:rFonts w:ascii="Times New Roman" w:cs="Times New Roman" w:eastAsia="Times New Roman" w:hAnsi="Times New Roman"/>
          <w:sz w:val="14"/>
          <w:szCs w:val="14"/>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93" w:lineRule="exact"/>
        <w:rPr>
          <w:rFonts w:ascii="Times New Roman" w:cs="Times New Roman" w:eastAsia="Times New Roman" w:hAnsi="Times New Roman"/>
          <w:sz w:val="14"/>
          <w:szCs w:val="14"/>
          <w:color w:val="auto"/>
        </w:rPr>
      </w:pPr>
    </w:p>
    <w:p>
      <w:pPr>
        <w:jc w:val="both"/>
        <w:ind w:firstLine="256"/>
        <w:spacing w:after="0" w:line="179" w:lineRule="exact"/>
        <w:rPr>
          <w:sz w:val="20"/>
          <w:szCs w:val="20"/>
          <w:color w:val="auto"/>
        </w:rPr>
      </w:pPr>
      <w:r>
        <w:rPr>
          <w:rFonts w:ascii="Times New Roman" w:cs="Times New Roman" w:eastAsia="Times New Roman" w:hAnsi="Times New Roman"/>
          <w:sz w:val="14"/>
          <w:szCs w:val="14"/>
          <w:color w:val="auto"/>
        </w:rPr>
        <w:t>We also incorporate by reference any future filings (other than current reports furnished under Item 2.02 or Item 7.01 of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and exhibits filed on such form that are related to such items unless such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58" w:lineRule="exact"/>
        <w:rPr>
          <w:rFonts w:ascii="Times New Roman" w:cs="Times New Roman" w:eastAsia="Times New Roman" w:hAnsi="Times New Roman"/>
          <w:sz w:val="14"/>
          <w:szCs w:val="14"/>
          <w:color w:val="auto"/>
        </w:rPr>
      </w:pPr>
    </w:p>
    <w:p>
      <w:pPr>
        <w:ind w:left="260"/>
        <w:spacing w:after="0"/>
        <w:rPr>
          <w:sz w:val="20"/>
          <w:szCs w:val="20"/>
          <w:color w:val="auto"/>
        </w:rPr>
      </w:pPr>
      <w:r>
        <w:rPr>
          <w:rFonts w:ascii="Times New Roman" w:cs="Times New Roman" w:eastAsia="Times New Roman" w:hAnsi="Times New Roman"/>
          <w:sz w:val="14"/>
          <w:szCs w:val="14"/>
          <w:color w:val="auto"/>
        </w:rPr>
        <w:t>You can request a copy of these filings, at no cost, by writing or telephoning us at the following address or telephone number:</w:t>
      </w:r>
    </w:p>
    <w:p>
      <w:pPr>
        <w:spacing w:after="0" w:line="181"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Talphera, Inc.</w:t>
      </w:r>
    </w:p>
    <w:p>
      <w:pPr>
        <w:spacing w:after="0" w:line="24"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1850 Gateway Drive, Suite 175</w:t>
      </w:r>
    </w:p>
    <w:p>
      <w:pPr>
        <w:spacing w:after="0" w:line="10"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San Mateo, California 94404</w:t>
      </w:r>
    </w:p>
    <w:p>
      <w:pPr>
        <w:spacing w:after="0" w:line="10"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10" w:lineRule="exact"/>
        <w:rPr>
          <w:rFonts w:ascii="Times New Roman" w:cs="Times New Roman" w:eastAsia="Times New Roman" w:hAnsi="Times New Roman"/>
          <w:sz w:val="14"/>
          <w:szCs w:val="14"/>
          <w:color w:val="auto"/>
        </w:rPr>
      </w:pPr>
    </w:p>
    <w:p>
      <w:pPr>
        <w:ind w:left="5540" w:hanging="341"/>
        <w:spacing w:after="0"/>
        <w:tabs>
          <w:tab w:leader="none" w:pos="5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216-3500</w:t>
      </w:r>
    </w:p>
    <w:p>
      <w:pPr>
        <w:spacing w:after="0" w:line="167"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183"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2"/>
        </w:trPr>
        <w:tc>
          <w:tcPr>
            <w:tcW w:w="97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Borders>
              <w:top w:val="single" w:sz="8" w:color="CCEEFF"/>
            </w:tcBorders>
            <w:shd w:val="clear" w:color="auto" w:fill="CCEEFF"/>
          </w:tcPr>
          <w:p>
            <w:pPr>
              <w:spacing w:after="0"/>
              <w:rPr>
                <w:sz w:val="14"/>
                <w:szCs w:val="14"/>
                <w:color w:val="auto"/>
              </w:rPr>
            </w:pPr>
          </w:p>
        </w:tc>
      </w:tr>
      <w:tr>
        <w:trPr>
          <w:trHeight w:val="171"/>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Industry Regulatory Authority filing fee</w:t>
            </w:r>
          </w:p>
        </w:tc>
        <w:tc>
          <w:tcPr>
            <w:tcW w:w="2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r>
      <w:tr>
        <w:trPr>
          <w:trHeight w:val="171"/>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w:t>
            </w:r>
          </w:p>
        </w:tc>
      </w:tr>
      <w:tr>
        <w:trPr>
          <w:trHeight w:val="171"/>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r>
      <w:tr>
        <w:trPr>
          <w:trHeight w:val="182"/>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Miscellaneous fees and expenses</w:t>
            </w:r>
          </w:p>
        </w:tc>
        <w:tc>
          <w:tcPr>
            <w:tcW w:w="26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24,232</w:t>
            </w:r>
          </w:p>
        </w:tc>
      </w:tr>
      <w:tr>
        <w:trPr>
          <w:trHeight w:val="172"/>
        </w:trPr>
        <w:tc>
          <w:tcPr>
            <w:tcW w:w="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85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1140" w:type="dxa"/>
            <w:vAlign w:val="bottom"/>
            <w:gridSpan w:val="2"/>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1140" w:type="dxa"/>
            <w:vAlign w:val="bottom"/>
            <w:tcBorders>
              <w:bottom w:val="single" w:sz="8" w:color="auto"/>
            </w:tcBorders>
            <w:gridSpan w:val="2"/>
          </w:tcPr>
          <w:p>
            <w:pPr>
              <w:spacing w:after="0"/>
              <w:rPr>
                <w:sz w:val="16"/>
                <w:szCs w:val="16"/>
                <w:color w:val="auto"/>
              </w:rPr>
            </w:pPr>
          </w:p>
        </w:tc>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This fee is calculated based on the securities offered and the number of issuances and accordingly cannot be estimated at this time.</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2"/>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Indemnification of Directors and Officers.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7"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The following summary is qualified in its entirety by reference to the complete copy of the Delaware General Corporation Law, Talphera’s amended and restated certificate of incorporation, as amended, and Talphera’s amended and restated bylaws.</w:t>
      </w:r>
    </w:p>
    <w:p>
      <w:pPr>
        <w:spacing w:after="0" w:line="124" w:lineRule="exact"/>
        <w:rPr>
          <w:sz w:val="20"/>
          <w:szCs w:val="20"/>
          <w:color w:val="auto"/>
        </w:rPr>
      </w:pPr>
    </w:p>
    <w:p>
      <w:pPr>
        <w:jc w:val="both"/>
        <w:ind w:firstLine="256"/>
        <w:spacing w:after="0" w:line="272" w:lineRule="auto"/>
        <w:rPr>
          <w:sz w:val="20"/>
          <w:szCs w:val="20"/>
          <w:color w:val="auto"/>
        </w:rPr>
      </w:pPr>
      <w:r>
        <w:rPr>
          <w:rFonts w:ascii="Times New Roman" w:cs="Times New Roman" w:eastAsia="Times New Roman" w:hAnsi="Times New Roman"/>
          <w:sz w:val="14"/>
          <w:szCs w:val="14"/>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w:t>
      </w:r>
    </w:p>
    <w:p>
      <w:pPr>
        <w:spacing w:after="0" w:line="137"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As permitted by the Delaware General Corporation Law, Talphera’s amended and restated certificate of incorporation, as amended, contains provisions that eliminate the personal liability of its directors for monetary damages for any breach of fiduciary duties as a director, except liability for the following:</w:t>
      </w:r>
    </w:p>
    <w:p>
      <w:pPr>
        <w:spacing w:after="0" w:line="124" w:lineRule="exact"/>
        <w:rPr>
          <w:sz w:val="20"/>
          <w:szCs w:val="20"/>
          <w:color w:val="auto"/>
        </w:rPr>
      </w:pPr>
    </w:p>
    <w:p>
      <w:pPr>
        <w:ind w:left="520" w:hanging="258"/>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Talphera or its stockholders;</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that involve intentional misconduct or a knowing violation of law;</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Section 174 of the Delaware General Corporation Law (regarding unlawful dividends and stock purchases); or</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permitted by the Delaware General Corporation Law, Talphera’s amended and restated bylaws provide that:</w:t>
      </w:r>
    </w:p>
    <w:p>
      <w:pPr>
        <w:spacing w:after="0" w:line="181" w:lineRule="exact"/>
        <w:rPr>
          <w:sz w:val="20"/>
          <w:szCs w:val="20"/>
          <w:color w:val="auto"/>
        </w:rPr>
      </w:pPr>
    </w:p>
    <w:p>
      <w:pPr>
        <w:ind w:left="520" w:hanging="258"/>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Talphera is required to indemnify its directors and executive officers to the fullest extent permitted by the Delaware General Corporation Law, subject to very limited exceptions;</w:t>
      </w:r>
    </w:p>
    <w:p>
      <w:pPr>
        <w:spacing w:after="0" w:line="202"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Talphera may indemnify its other employees and agents as set forth in the Delaware General Corporation Law;</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679" w:right="319" w:bottom="1440" w:gutter="0" w:footer="0" w:header="0"/>
        </w:sectPr>
      </w:pPr>
    </w:p>
    <w:bookmarkStart w:id="23" w:name="page24"/>
    <w:bookmarkEnd w:id="23"/>
    <w:p>
      <w:pPr>
        <w:ind w:left="520" w:hanging="258"/>
        <w:spacing w:after="0" w:line="290"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Talphera is required to advance expenses, as incurred, to its directors and executive officers in connection with a legal proceeding to the fullest extent permitted by the Delaware General Corporation Law, subject to very limited exceptions; and</w:t>
      </w:r>
    </w:p>
    <w:p>
      <w:pPr>
        <w:spacing w:after="0" w:line="124" w:lineRule="exact"/>
        <w:rPr>
          <w:rFonts w:ascii="Times New Roman" w:cs="Times New Roman" w:eastAsia="Times New Roman" w:hAnsi="Times New Roman"/>
          <w:sz w:val="14"/>
          <w:szCs w:val="14"/>
          <w:color w:val="auto"/>
        </w:rPr>
      </w:pPr>
    </w:p>
    <w:p>
      <w:pPr>
        <w:ind w:left="520" w:hanging="258"/>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conferred in the bylaws are not exclusive.</w:t>
      </w:r>
    </w:p>
    <w:p>
      <w:pPr>
        <w:spacing w:after="0" w:line="202" w:lineRule="exact"/>
        <w:rPr>
          <w:sz w:val="20"/>
          <w:szCs w:val="20"/>
          <w:color w:val="auto"/>
        </w:rPr>
      </w:pPr>
    </w:p>
    <w:p>
      <w:pPr>
        <w:jc w:val="both"/>
        <w:ind w:firstLine="256"/>
        <w:spacing w:after="0" w:line="260" w:lineRule="auto"/>
        <w:rPr>
          <w:sz w:val="20"/>
          <w:szCs w:val="20"/>
          <w:color w:val="auto"/>
        </w:rPr>
      </w:pPr>
      <w:r>
        <w:rPr>
          <w:rFonts w:ascii="Times New Roman" w:cs="Times New Roman" w:eastAsia="Times New Roman" w:hAnsi="Times New Roman"/>
          <w:sz w:val="14"/>
          <w:szCs w:val="14"/>
          <w:color w:val="auto"/>
        </w:rPr>
        <w:t>Talphera has entered, and intends to continue to enter, into separate indemnification agreements with its directors and executive officers to provide these directors and executive officers additional contractual assurances regarding the scope of the indemnification set forth in Talphera’s amended and restated certificate of incorporation, as amended, and amended and restated bylaws and to provide additional procedural protections. At present, there is no pending litigation or proceeding involving a director or executive officer of Talphera regarding which indemnification is sought. The indemnification provisions in Talphera’s amended and restated certificate of incorporation, as amended, amended and restated bylaws and the indemnification agreements entered into or to be entered into between Talphera and each of its directors and executive officers may be sufficiently broad to permit indemnification of Talphera’s directors and executive officers for liabilities arising under the Securities Act. Insofar as indemnification for liabilities arising under the Securities Act of 1933, as amended, may be permitted to directors, officers and controlling persons of Talphera pursuant to the foregoing provisions, or otherwise, Talphera has been advised that in the opinion of the Securities and Exchange Commission such indemnification is against public policy as expressed in the Securities Act of 1933, as amended, and is, therefore, unenforceable.</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Talphera currently carries liability insurance for its directors and officers.</w:t>
      </w:r>
    </w:p>
    <w:p>
      <w:pPr>
        <w:spacing w:after="0" w:line="181"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Talphera has entered into a registration rights agreement with the stockholders of the shares of common stock registered hereby which obligates the parties to indemnify, under certain circumstances, the other party, its officers, directors, and controlling persons within the meaning of the Securities Act of 1933, as amended, against certain liabilities.</w:t>
      </w:r>
    </w:p>
    <w:p>
      <w:pPr>
        <w:spacing w:after="0" w:line="1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9"/>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15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30"/>
        </w:trPr>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w w:val="91"/>
              </w:rPr>
              <w:t>3.1</w:t>
            </w:r>
          </w:p>
        </w:tc>
        <w:tc>
          <w:tcPr>
            <w:tcW w:w="140" w:type="dxa"/>
            <w:vAlign w:val="bottom"/>
          </w:tcPr>
          <w:p>
            <w:pPr>
              <w:spacing w:after="0"/>
              <w:rPr>
                <w:sz w:val="11"/>
                <w:szCs w:val="11"/>
                <w:color w:val="auto"/>
              </w:rPr>
            </w:pPr>
          </w:p>
        </w:tc>
        <w:tc>
          <w:tcPr>
            <w:tcW w:w="3920" w:type="dxa"/>
            <w:vAlign w:val="bottom"/>
            <w:tcBorders>
              <w:bottom w:val="single" w:sz="8" w:color="0000EE"/>
            </w:tcBorders>
            <w:gridSpan w:val="8"/>
          </w:tcPr>
          <w:p>
            <w:pPr>
              <w:spacing w:after="0" w:line="131" w:lineRule="exact"/>
              <w:rPr>
                <w:rFonts w:ascii="Times New Roman" w:cs="Times New Roman" w:eastAsia="Times New Roman" w:hAnsi="Times New Roman"/>
                <w:sz w:val="14"/>
                <w:szCs w:val="14"/>
                <w:color w:val="0000EE"/>
              </w:rPr>
            </w:pPr>
            <w:hyperlink r:id="rId48">
              <w:r>
                <w:rPr>
                  <w:rFonts w:ascii="Times New Roman" w:cs="Times New Roman" w:eastAsia="Times New Roman" w:hAnsi="Times New Roman"/>
                  <w:sz w:val="14"/>
                  <w:szCs w:val="14"/>
                  <w:color w:val="0000EE"/>
                </w:rPr>
                <w:t>Amended and Restated Certificate of Incorporation of the Registrant.</w:t>
              </w:r>
            </w:hyperlink>
          </w:p>
        </w:tc>
        <w:tc>
          <w:tcPr>
            <w:tcW w:w="124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8-K</w:t>
            </w:r>
          </w:p>
        </w:tc>
        <w:tc>
          <w:tcPr>
            <w:tcW w:w="12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001-35068</w:t>
            </w:r>
          </w:p>
        </w:tc>
        <w:tc>
          <w:tcPr>
            <w:tcW w:w="10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w w:val="98"/>
              </w:rPr>
              <w:t>2/18/2011</w:t>
            </w:r>
          </w:p>
        </w:tc>
        <w:tc>
          <w:tcPr>
            <w:tcW w:w="0" w:type="dxa"/>
            <w:vAlign w:val="bottom"/>
          </w:tcPr>
          <w:p>
            <w:pPr>
              <w:spacing w:after="0"/>
              <w:rPr>
                <w:sz w:val="1"/>
                <w:szCs w:val="1"/>
                <w:color w:val="auto"/>
              </w:rPr>
            </w:pPr>
          </w:p>
        </w:tc>
      </w:tr>
      <w:tr>
        <w:trPr>
          <w:trHeight w:val="151"/>
        </w:trPr>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1"/>
              </w:rPr>
              <w:t>3.2</w:t>
            </w:r>
          </w:p>
        </w:tc>
        <w:tc>
          <w:tcPr>
            <w:tcW w:w="140" w:type="dxa"/>
            <w:vAlign w:val="bottom"/>
          </w:tcPr>
          <w:p>
            <w:pPr>
              <w:spacing w:after="0"/>
              <w:rPr>
                <w:sz w:val="13"/>
                <w:szCs w:val="13"/>
                <w:color w:val="auto"/>
              </w:rPr>
            </w:pPr>
          </w:p>
        </w:tc>
        <w:tc>
          <w:tcPr>
            <w:tcW w:w="5160" w:type="dxa"/>
            <w:vAlign w:val="bottom"/>
            <w:gridSpan w:val="12"/>
          </w:tcPr>
          <w:p>
            <w:pPr>
              <w:spacing w:after="0" w:line="151" w:lineRule="exact"/>
              <w:rPr>
                <w:rFonts w:ascii="Times New Roman" w:cs="Times New Roman" w:eastAsia="Times New Roman" w:hAnsi="Times New Roman"/>
                <w:sz w:val="14"/>
                <w:szCs w:val="14"/>
                <w:color w:val="0000EE"/>
              </w:rPr>
            </w:pPr>
            <w:hyperlink r:id="rId49">
              <w:r>
                <w:rPr>
                  <w:rFonts w:ascii="Times New Roman" w:cs="Times New Roman" w:eastAsia="Times New Roman" w:hAnsi="Times New Roman"/>
                  <w:sz w:val="14"/>
                  <w:szCs w:val="14"/>
                  <w:color w:val="0000EE"/>
                </w:rPr>
                <w:t>Certificate of Amendment of Amended and Restated Certificate of Incorporation of the</w:t>
              </w:r>
            </w:hyperlink>
          </w:p>
        </w:tc>
        <w:tc>
          <w:tcPr>
            <w:tcW w:w="12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8-K</w:t>
            </w:r>
          </w:p>
        </w:tc>
        <w:tc>
          <w:tcPr>
            <w:tcW w:w="168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001-35068</w:t>
            </w:r>
          </w:p>
        </w:tc>
        <w:tc>
          <w:tcPr>
            <w:tcW w:w="11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1220" w:type="dxa"/>
            <w:vAlign w:val="bottom"/>
            <w:gridSpan w:val="2"/>
          </w:tcPr>
          <w:p>
            <w:pPr>
              <w:jc w:val="center"/>
              <w:ind w:left="49"/>
              <w:spacing w:after="0" w:line="151" w:lineRule="exact"/>
              <w:rPr>
                <w:sz w:val="20"/>
                <w:szCs w:val="20"/>
                <w:color w:val="auto"/>
              </w:rPr>
            </w:pPr>
            <w:r>
              <w:rPr>
                <w:rFonts w:ascii="Times New Roman" w:cs="Times New Roman" w:eastAsia="Times New Roman" w:hAnsi="Times New Roman"/>
                <w:sz w:val="14"/>
                <w:szCs w:val="14"/>
                <w:color w:val="auto"/>
              </w:rPr>
              <w:t>6/25/2019</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51" w:lineRule="exact"/>
              <w:rPr>
                <w:rFonts w:ascii="Times New Roman" w:cs="Times New Roman" w:eastAsia="Times New Roman" w:hAnsi="Times New Roman"/>
                <w:sz w:val="14"/>
                <w:szCs w:val="14"/>
                <w:color w:val="0000EE"/>
                <w:w w:val="94"/>
              </w:rPr>
            </w:pPr>
            <w:hyperlink r:id="rId49">
              <w:r>
                <w:rPr>
                  <w:rFonts w:ascii="Times New Roman" w:cs="Times New Roman" w:eastAsia="Times New Roman" w:hAnsi="Times New Roman"/>
                  <w:sz w:val="14"/>
                  <w:szCs w:val="14"/>
                  <w:color w:val="0000EE"/>
                  <w:w w:val="94"/>
                </w:rPr>
                <w:t>Registrant.</w:t>
              </w:r>
            </w:hyperlink>
          </w:p>
        </w:tc>
        <w:tc>
          <w:tcPr>
            <w:tcW w:w="4340" w:type="dxa"/>
            <w:vAlign w:val="bottom"/>
            <w:tcBorders>
              <w:top w:val="single" w:sz="8" w:color="0000EE"/>
            </w:tcBorders>
            <w:gridSpan w:val="9"/>
          </w:tcPr>
          <w:p>
            <w:pPr>
              <w:spacing w:after="0"/>
              <w:rPr>
                <w:sz w:val="13"/>
                <w:szCs w:val="13"/>
                <w:color w:val="auto"/>
              </w:rPr>
            </w:pPr>
          </w:p>
        </w:tc>
        <w:tc>
          <w:tcPr>
            <w:tcW w:w="2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1"/>
              </w:rPr>
              <w:t>3.3</w:t>
            </w:r>
          </w:p>
        </w:tc>
        <w:tc>
          <w:tcPr>
            <w:tcW w:w="140" w:type="dxa"/>
            <w:vAlign w:val="bottom"/>
          </w:tcPr>
          <w:p>
            <w:pPr>
              <w:spacing w:after="0"/>
              <w:rPr>
                <w:sz w:val="13"/>
                <w:szCs w:val="13"/>
                <w:color w:val="auto"/>
              </w:rPr>
            </w:pPr>
          </w:p>
        </w:tc>
        <w:tc>
          <w:tcPr>
            <w:tcW w:w="5160" w:type="dxa"/>
            <w:vAlign w:val="bottom"/>
            <w:gridSpan w:val="12"/>
          </w:tcPr>
          <w:p>
            <w:pPr>
              <w:spacing w:after="0" w:line="151" w:lineRule="exact"/>
              <w:rPr>
                <w:rFonts w:ascii="Times New Roman" w:cs="Times New Roman" w:eastAsia="Times New Roman" w:hAnsi="Times New Roman"/>
                <w:sz w:val="14"/>
                <w:szCs w:val="14"/>
                <w:color w:val="0000EE"/>
              </w:rPr>
            </w:pPr>
            <w:hyperlink r:id="rId50">
              <w:r>
                <w:rPr>
                  <w:rFonts w:ascii="Times New Roman" w:cs="Times New Roman" w:eastAsia="Times New Roman" w:hAnsi="Times New Roman"/>
                  <w:sz w:val="14"/>
                  <w:szCs w:val="14"/>
                  <w:color w:val="0000EE"/>
                </w:rPr>
                <w:t>Certificate of Amendment of Amended and Restated Certificate of Incorporation of the</w:t>
              </w:r>
            </w:hyperlink>
          </w:p>
        </w:tc>
        <w:tc>
          <w:tcPr>
            <w:tcW w:w="12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8-K</w:t>
            </w:r>
          </w:p>
        </w:tc>
        <w:tc>
          <w:tcPr>
            <w:tcW w:w="168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001-35068</w:t>
            </w:r>
          </w:p>
        </w:tc>
        <w:tc>
          <w:tcPr>
            <w:tcW w:w="11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12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10/25/2022</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51" w:lineRule="exact"/>
              <w:rPr>
                <w:rFonts w:ascii="Times New Roman" w:cs="Times New Roman" w:eastAsia="Times New Roman" w:hAnsi="Times New Roman"/>
                <w:sz w:val="14"/>
                <w:szCs w:val="14"/>
                <w:color w:val="0000EE"/>
                <w:w w:val="94"/>
              </w:rPr>
            </w:pPr>
            <w:hyperlink r:id="rId50">
              <w:r>
                <w:rPr>
                  <w:rFonts w:ascii="Times New Roman" w:cs="Times New Roman" w:eastAsia="Times New Roman" w:hAnsi="Times New Roman"/>
                  <w:sz w:val="14"/>
                  <w:szCs w:val="14"/>
                  <w:color w:val="0000EE"/>
                  <w:w w:val="94"/>
                </w:rPr>
                <w:t>Registrant.</w:t>
              </w:r>
            </w:hyperlink>
          </w:p>
        </w:tc>
        <w:tc>
          <w:tcPr>
            <w:tcW w:w="4340" w:type="dxa"/>
            <w:vAlign w:val="bottom"/>
            <w:tcBorders>
              <w:top w:val="single" w:sz="8" w:color="0000EE"/>
            </w:tcBorders>
            <w:gridSpan w:val="9"/>
          </w:tcPr>
          <w:p>
            <w:pPr>
              <w:spacing w:after="0"/>
              <w:rPr>
                <w:sz w:val="13"/>
                <w:szCs w:val="13"/>
                <w:color w:val="auto"/>
              </w:rPr>
            </w:pPr>
          </w:p>
        </w:tc>
        <w:tc>
          <w:tcPr>
            <w:tcW w:w="2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1"/>
              </w:rPr>
              <w:t>3.4</w:t>
            </w:r>
          </w:p>
        </w:tc>
        <w:tc>
          <w:tcPr>
            <w:tcW w:w="140" w:type="dxa"/>
            <w:vAlign w:val="bottom"/>
          </w:tcPr>
          <w:p>
            <w:pPr>
              <w:spacing w:after="0"/>
              <w:rPr>
                <w:sz w:val="13"/>
                <w:szCs w:val="13"/>
                <w:color w:val="auto"/>
              </w:rPr>
            </w:pPr>
          </w:p>
        </w:tc>
        <w:tc>
          <w:tcPr>
            <w:tcW w:w="5160" w:type="dxa"/>
            <w:vAlign w:val="bottom"/>
            <w:gridSpan w:val="12"/>
          </w:tcPr>
          <w:p>
            <w:pPr>
              <w:spacing w:after="0" w:line="151" w:lineRule="exact"/>
              <w:rPr>
                <w:rFonts w:ascii="Times New Roman" w:cs="Times New Roman" w:eastAsia="Times New Roman" w:hAnsi="Times New Roman"/>
                <w:sz w:val="14"/>
                <w:szCs w:val="14"/>
                <w:color w:val="0000EE"/>
              </w:rPr>
            </w:pPr>
            <w:hyperlink r:id="rId51">
              <w:r>
                <w:rPr>
                  <w:rFonts w:ascii="Times New Roman" w:cs="Times New Roman" w:eastAsia="Times New Roman" w:hAnsi="Times New Roman"/>
                  <w:sz w:val="14"/>
                  <w:szCs w:val="14"/>
                  <w:color w:val="0000EE"/>
                </w:rPr>
                <w:t>Certificate of Elimination of Series A Convertible Preferred Stock.</w:t>
              </w:r>
            </w:hyperlink>
          </w:p>
        </w:tc>
        <w:tc>
          <w:tcPr>
            <w:tcW w:w="12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8-K</w:t>
            </w:r>
          </w:p>
        </w:tc>
        <w:tc>
          <w:tcPr>
            <w:tcW w:w="168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001-35068</w:t>
            </w:r>
          </w:p>
        </w:tc>
        <w:tc>
          <w:tcPr>
            <w:tcW w:w="11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3.2</w:t>
            </w:r>
          </w:p>
        </w:tc>
        <w:tc>
          <w:tcPr>
            <w:tcW w:w="12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10/25/2022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1"/>
              </w:rPr>
              <w:t>3.5</w:t>
            </w:r>
          </w:p>
        </w:tc>
        <w:tc>
          <w:tcPr>
            <w:tcW w:w="140" w:type="dxa"/>
            <w:vAlign w:val="bottom"/>
          </w:tcPr>
          <w:p>
            <w:pPr>
              <w:spacing w:after="0"/>
              <w:rPr>
                <w:sz w:val="13"/>
                <w:szCs w:val="13"/>
                <w:color w:val="auto"/>
              </w:rPr>
            </w:pPr>
          </w:p>
        </w:tc>
        <w:tc>
          <w:tcPr>
            <w:tcW w:w="5160" w:type="dxa"/>
            <w:vAlign w:val="bottom"/>
            <w:gridSpan w:val="12"/>
          </w:tcPr>
          <w:p>
            <w:pPr>
              <w:spacing w:after="0" w:line="151" w:lineRule="exact"/>
              <w:rPr>
                <w:rFonts w:ascii="Times New Roman" w:cs="Times New Roman" w:eastAsia="Times New Roman" w:hAnsi="Times New Roman"/>
                <w:sz w:val="14"/>
                <w:szCs w:val="14"/>
                <w:color w:val="0000EE"/>
              </w:rPr>
            </w:pPr>
            <w:hyperlink r:id="rId52">
              <w:r>
                <w:rPr>
                  <w:rFonts w:ascii="Times New Roman" w:cs="Times New Roman" w:eastAsia="Times New Roman" w:hAnsi="Times New Roman"/>
                  <w:sz w:val="14"/>
                  <w:szCs w:val="14"/>
                  <w:color w:val="0000EE"/>
                </w:rPr>
                <w:t>Certificate of Amendment of Amended and Restated Certificate of Incorporation of the</w:t>
              </w:r>
            </w:hyperlink>
          </w:p>
        </w:tc>
        <w:tc>
          <w:tcPr>
            <w:tcW w:w="12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8-K</w:t>
            </w:r>
          </w:p>
        </w:tc>
        <w:tc>
          <w:tcPr>
            <w:tcW w:w="168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001-35068</w:t>
            </w:r>
          </w:p>
        </w:tc>
        <w:tc>
          <w:tcPr>
            <w:tcW w:w="11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12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1/9/2024</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51" w:lineRule="exact"/>
              <w:rPr>
                <w:rFonts w:ascii="Times New Roman" w:cs="Times New Roman" w:eastAsia="Times New Roman" w:hAnsi="Times New Roman"/>
                <w:sz w:val="14"/>
                <w:szCs w:val="14"/>
                <w:color w:val="0000EE"/>
                <w:w w:val="94"/>
              </w:rPr>
            </w:pPr>
            <w:hyperlink r:id="rId52">
              <w:r>
                <w:rPr>
                  <w:rFonts w:ascii="Times New Roman" w:cs="Times New Roman" w:eastAsia="Times New Roman" w:hAnsi="Times New Roman"/>
                  <w:sz w:val="14"/>
                  <w:szCs w:val="14"/>
                  <w:color w:val="0000EE"/>
                  <w:w w:val="94"/>
                </w:rPr>
                <w:t>Registrant.</w:t>
              </w:r>
            </w:hyperlink>
          </w:p>
        </w:tc>
        <w:tc>
          <w:tcPr>
            <w:tcW w:w="4340" w:type="dxa"/>
            <w:vAlign w:val="bottom"/>
            <w:tcBorders>
              <w:top w:val="single" w:sz="8" w:color="0000EE"/>
            </w:tcBorders>
            <w:gridSpan w:val="9"/>
          </w:tcPr>
          <w:p>
            <w:pPr>
              <w:spacing w:after="0"/>
              <w:rPr>
                <w:sz w:val="13"/>
                <w:szCs w:val="13"/>
                <w:color w:val="auto"/>
              </w:rPr>
            </w:pPr>
          </w:p>
        </w:tc>
        <w:tc>
          <w:tcPr>
            <w:tcW w:w="2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1"/>
              </w:rPr>
              <w:t>3.6</w:t>
            </w:r>
          </w:p>
        </w:tc>
        <w:tc>
          <w:tcPr>
            <w:tcW w:w="140" w:type="dxa"/>
            <w:vAlign w:val="bottom"/>
          </w:tcPr>
          <w:p>
            <w:pPr>
              <w:spacing w:after="0"/>
              <w:rPr>
                <w:sz w:val="13"/>
                <w:szCs w:val="13"/>
                <w:color w:val="auto"/>
              </w:rPr>
            </w:pPr>
          </w:p>
        </w:tc>
        <w:tc>
          <w:tcPr>
            <w:tcW w:w="2780" w:type="dxa"/>
            <w:vAlign w:val="bottom"/>
            <w:tcBorders>
              <w:bottom w:val="single" w:sz="8" w:color="0000EE"/>
            </w:tcBorders>
            <w:gridSpan w:val="4"/>
          </w:tcPr>
          <w:p>
            <w:pPr>
              <w:spacing w:after="0" w:line="151" w:lineRule="exact"/>
              <w:rPr>
                <w:rFonts w:ascii="Times New Roman" w:cs="Times New Roman" w:eastAsia="Times New Roman" w:hAnsi="Times New Roman"/>
                <w:sz w:val="14"/>
                <w:szCs w:val="14"/>
                <w:color w:val="0000EE"/>
              </w:rPr>
            </w:pPr>
            <w:hyperlink r:id="rId53">
              <w:r>
                <w:rPr>
                  <w:rFonts w:ascii="Times New Roman" w:cs="Times New Roman" w:eastAsia="Times New Roman" w:hAnsi="Times New Roman"/>
                  <w:sz w:val="14"/>
                  <w:szCs w:val="14"/>
                  <w:color w:val="0000EE"/>
                </w:rPr>
                <w:t>Amended and Restated Bylaws of the Registrant.</w:t>
              </w:r>
            </w:hyperlink>
          </w:p>
        </w:tc>
        <w:tc>
          <w:tcPr>
            <w:tcW w:w="2380" w:type="dxa"/>
            <w:vAlign w:val="bottom"/>
            <w:gridSpan w:val="8"/>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8-K</w:t>
            </w:r>
          </w:p>
        </w:tc>
        <w:tc>
          <w:tcPr>
            <w:tcW w:w="168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001-35068</w:t>
            </w:r>
          </w:p>
        </w:tc>
        <w:tc>
          <w:tcPr>
            <w:tcW w:w="11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3.2</w:t>
            </w:r>
          </w:p>
        </w:tc>
        <w:tc>
          <w:tcPr>
            <w:tcW w:w="12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1/9/2024</w:t>
            </w:r>
          </w:p>
        </w:tc>
        <w:tc>
          <w:tcPr>
            <w:tcW w:w="0" w:type="dxa"/>
            <w:vAlign w:val="bottom"/>
          </w:tcPr>
          <w:p>
            <w:pPr>
              <w:spacing w:after="0"/>
              <w:rPr>
                <w:sz w:val="1"/>
                <w:szCs w:val="1"/>
                <w:color w:val="auto"/>
              </w:rPr>
            </w:pPr>
          </w:p>
        </w:tc>
      </w:tr>
      <w:tr>
        <w:trPr>
          <w:trHeight w:val="168"/>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40" w:type="dxa"/>
            <w:vAlign w:val="bottom"/>
          </w:tcPr>
          <w:p>
            <w:pPr>
              <w:spacing w:after="0"/>
              <w:rPr>
                <w:sz w:val="14"/>
                <w:szCs w:val="14"/>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Reference is made to Exhibits 3.1 through 3.6.</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color w:val="auto"/>
                <w:w w:val="91"/>
              </w:rPr>
              <w:t>4.2</w:t>
            </w:r>
          </w:p>
        </w:tc>
        <w:tc>
          <w:tcPr>
            <w:tcW w:w="140" w:type="dxa"/>
            <w:vAlign w:val="bottom"/>
          </w:tcPr>
          <w:p>
            <w:pPr>
              <w:spacing w:after="0"/>
              <w:rPr>
                <w:sz w:val="13"/>
                <w:szCs w:val="13"/>
                <w:color w:val="auto"/>
              </w:rPr>
            </w:pPr>
          </w:p>
        </w:tc>
        <w:tc>
          <w:tcPr>
            <w:tcW w:w="3120" w:type="dxa"/>
            <w:vAlign w:val="bottom"/>
            <w:tcBorders>
              <w:bottom w:val="single" w:sz="8" w:color="0000EE"/>
            </w:tcBorders>
            <w:gridSpan w:val="5"/>
          </w:tcPr>
          <w:p>
            <w:pPr>
              <w:spacing w:after="0" w:line="154" w:lineRule="exact"/>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0000EE"/>
                </w:rPr>
                <w:t>Specimen Common Stock Certificate of the Registrant.</w:t>
              </w:r>
            </w:hyperlink>
          </w:p>
        </w:tc>
        <w:tc>
          <w:tcPr>
            <w:tcW w:w="2040" w:type="dxa"/>
            <w:vAlign w:val="bottom"/>
            <w:gridSpan w:val="7"/>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color w:val="auto"/>
              </w:rPr>
              <w:t>S-1</w:t>
            </w:r>
          </w:p>
        </w:tc>
        <w:tc>
          <w:tcPr>
            <w:tcW w:w="1680" w:type="dxa"/>
            <w:vAlign w:val="bottom"/>
            <w:gridSpan w:val="2"/>
          </w:tcPr>
          <w:p>
            <w:pPr>
              <w:jc w:val="center"/>
              <w:ind w:left="49"/>
              <w:spacing w:after="0" w:line="154" w:lineRule="exact"/>
              <w:rPr>
                <w:sz w:val="20"/>
                <w:szCs w:val="20"/>
                <w:color w:val="auto"/>
              </w:rPr>
            </w:pPr>
            <w:r>
              <w:rPr>
                <w:rFonts w:ascii="Times New Roman" w:cs="Times New Roman" w:eastAsia="Times New Roman" w:hAnsi="Times New Roman"/>
                <w:sz w:val="14"/>
                <w:szCs w:val="14"/>
                <w:color w:val="auto"/>
              </w:rPr>
              <w:t>333-170594</w:t>
            </w:r>
          </w:p>
        </w:tc>
        <w:tc>
          <w:tcPr>
            <w:tcW w:w="1120" w:type="dxa"/>
            <w:vAlign w:val="bottom"/>
            <w:gridSpan w:val="2"/>
          </w:tcPr>
          <w:p>
            <w:pPr>
              <w:jc w:val="center"/>
              <w:ind w:left="29"/>
              <w:spacing w:after="0" w:line="154" w:lineRule="exact"/>
              <w:rPr>
                <w:sz w:val="20"/>
                <w:szCs w:val="20"/>
                <w:color w:val="auto"/>
              </w:rPr>
            </w:pPr>
            <w:r>
              <w:rPr>
                <w:rFonts w:ascii="Times New Roman" w:cs="Times New Roman" w:eastAsia="Times New Roman" w:hAnsi="Times New Roman"/>
                <w:sz w:val="14"/>
                <w:szCs w:val="14"/>
                <w:color w:val="auto"/>
              </w:rPr>
              <w:t>4.2</w:t>
            </w:r>
          </w:p>
        </w:tc>
        <w:tc>
          <w:tcPr>
            <w:tcW w:w="1220" w:type="dxa"/>
            <w:vAlign w:val="bottom"/>
            <w:gridSpan w:val="2"/>
          </w:tcPr>
          <w:p>
            <w:pPr>
              <w:jc w:val="center"/>
              <w:ind w:left="29"/>
              <w:spacing w:after="0" w:line="154" w:lineRule="exact"/>
              <w:rPr>
                <w:sz w:val="20"/>
                <w:szCs w:val="20"/>
                <w:color w:val="auto"/>
              </w:rPr>
            </w:pPr>
            <w:r>
              <w:rPr>
                <w:rFonts w:ascii="Times New Roman" w:cs="Times New Roman" w:eastAsia="Times New Roman" w:hAnsi="Times New Roman"/>
                <w:sz w:val="14"/>
                <w:szCs w:val="14"/>
                <w:color w:val="auto"/>
                <w:w w:val="98"/>
              </w:rPr>
              <w:t>1/31/2011</w:t>
            </w:r>
          </w:p>
        </w:tc>
        <w:tc>
          <w:tcPr>
            <w:tcW w:w="0" w:type="dxa"/>
            <w:vAlign w:val="bottom"/>
          </w:tcPr>
          <w:p>
            <w:pPr>
              <w:spacing w:after="0"/>
              <w:rPr>
                <w:sz w:val="1"/>
                <w:szCs w:val="1"/>
                <w:color w:val="auto"/>
              </w:rPr>
            </w:pPr>
          </w:p>
        </w:tc>
      </w:tr>
      <w:tr>
        <w:trPr>
          <w:trHeight w:val="151"/>
        </w:trPr>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7"/>
              </w:rPr>
              <w:t>5.1*</w:t>
            </w:r>
          </w:p>
        </w:tc>
        <w:tc>
          <w:tcPr>
            <w:tcW w:w="140" w:type="dxa"/>
            <w:vAlign w:val="bottom"/>
          </w:tcPr>
          <w:p>
            <w:pPr>
              <w:spacing w:after="0"/>
              <w:rPr>
                <w:sz w:val="13"/>
                <w:szCs w:val="13"/>
                <w:color w:val="auto"/>
              </w:rPr>
            </w:pPr>
          </w:p>
        </w:tc>
        <w:tc>
          <w:tcPr>
            <w:tcW w:w="5160" w:type="dxa"/>
            <w:vAlign w:val="bottom"/>
            <w:gridSpan w:val="12"/>
          </w:tcPr>
          <w:p>
            <w:pPr>
              <w:spacing w:after="0" w:line="151" w:lineRule="exact"/>
              <w:rPr>
                <w:sz w:val="20"/>
                <w:szCs w:val="20"/>
                <w:color w:val="auto"/>
              </w:rPr>
            </w:pPr>
            <w:r>
              <w:rPr>
                <w:rFonts w:ascii="Times New Roman" w:cs="Times New Roman" w:eastAsia="Times New Roman" w:hAnsi="Times New Roman"/>
                <w:sz w:val="14"/>
                <w:szCs w:val="14"/>
                <w:color w:val="0000EE"/>
              </w:rPr>
              <w:t>Opinion of Cooley LLP.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7"/>
              </w:rPr>
              <w:t>10.1</w:t>
            </w:r>
          </w:p>
        </w:tc>
        <w:tc>
          <w:tcPr>
            <w:tcW w:w="140" w:type="dxa"/>
            <w:vAlign w:val="bottom"/>
          </w:tcPr>
          <w:p>
            <w:pPr>
              <w:spacing w:after="0"/>
              <w:rPr>
                <w:sz w:val="13"/>
                <w:szCs w:val="13"/>
                <w:color w:val="auto"/>
              </w:rPr>
            </w:pPr>
          </w:p>
        </w:tc>
        <w:tc>
          <w:tcPr>
            <w:tcW w:w="5160" w:type="dxa"/>
            <w:vAlign w:val="bottom"/>
            <w:gridSpan w:val="12"/>
          </w:tcPr>
          <w:p>
            <w:pPr>
              <w:spacing w:after="0" w:line="151" w:lineRule="exact"/>
              <w:rPr>
                <w:rFonts w:ascii="Times New Roman" w:cs="Times New Roman" w:eastAsia="Times New Roman" w:hAnsi="Times New Roman"/>
                <w:sz w:val="14"/>
                <w:szCs w:val="14"/>
                <w:color w:val="0000EE"/>
              </w:rPr>
            </w:pPr>
            <w:hyperlink r:id="rId55">
              <w:r>
                <w:rPr>
                  <w:rFonts w:ascii="Times New Roman" w:cs="Times New Roman" w:eastAsia="Times New Roman" w:hAnsi="Times New Roman"/>
                  <w:sz w:val="14"/>
                  <w:szCs w:val="14"/>
                  <w:color w:val="0000EE"/>
                </w:rPr>
                <w:t>Form of Securities Purchase Agreement, dated March 31, 2025 by and between Talphera,</w:t>
              </w:r>
            </w:hyperlink>
          </w:p>
        </w:tc>
        <w:tc>
          <w:tcPr>
            <w:tcW w:w="12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8-K</w:t>
            </w:r>
          </w:p>
        </w:tc>
        <w:tc>
          <w:tcPr>
            <w:tcW w:w="168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001-35068</w:t>
            </w:r>
          </w:p>
        </w:tc>
        <w:tc>
          <w:tcPr>
            <w:tcW w:w="11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10.1</w:t>
            </w:r>
          </w:p>
        </w:tc>
        <w:tc>
          <w:tcPr>
            <w:tcW w:w="12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4/2/2025</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60" w:type="dxa"/>
            <w:vAlign w:val="bottom"/>
            <w:tcBorders>
              <w:top w:val="single" w:sz="8" w:color="0000EE"/>
            </w:tcBorders>
            <w:gridSpan w:val="11"/>
          </w:tcPr>
          <w:p>
            <w:pPr>
              <w:spacing w:after="0" w:line="151" w:lineRule="exact"/>
              <w:rPr>
                <w:rFonts w:ascii="Times New Roman" w:cs="Times New Roman" w:eastAsia="Times New Roman" w:hAnsi="Times New Roman"/>
                <w:sz w:val="14"/>
                <w:szCs w:val="14"/>
                <w:color w:val="0000EE"/>
              </w:rPr>
            </w:pPr>
            <w:hyperlink r:id="rId55">
              <w:r>
                <w:rPr>
                  <w:rFonts w:ascii="Times New Roman" w:cs="Times New Roman" w:eastAsia="Times New Roman" w:hAnsi="Times New Roman"/>
                  <w:sz w:val="14"/>
                  <w:szCs w:val="14"/>
                  <w:color w:val="0000EE"/>
                </w:rPr>
                <w:t>Inc. and the Purchasers.</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7"/>
              </w:rPr>
              <w:t>10.2</w:t>
            </w:r>
          </w:p>
        </w:tc>
        <w:tc>
          <w:tcPr>
            <w:tcW w:w="140" w:type="dxa"/>
            <w:vAlign w:val="bottom"/>
          </w:tcPr>
          <w:p>
            <w:pPr>
              <w:spacing w:after="0"/>
              <w:rPr>
                <w:sz w:val="13"/>
                <w:szCs w:val="13"/>
                <w:color w:val="auto"/>
              </w:rPr>
            </w:pPr>
          </w:p>
        </w:tc>
        <w:tc>
          <w:tcPr>
            <w:tcW w:w="5160" w:type="dxa"/>
            <w:vAlign w:val="bottom"/>
            <w:tcBorders>
              <w:bottom w:val="single" w:sz="8" w:color="0000EE"/>
            </w:tcBorders>
            <w:gridSpan w:val="12"/>
          </w:tcPr>
          <w:p>
            <w:pPr>
              <w:spacing w:after="0" w:line="151" w:lineRule="exact"/>
              <w:rPr>
                <w:rFonts w:ascii="Times New Roman" w:cs="Times New Roman" w:eastAsia="Times New Roman" w:hAnsi="Times New Roman"/>
                <w:sz w:val="14"/>
                <w:szCs w:val="14"/>
                <w:color w:val="0000EE"/>
              </w:rPr>
            </w:pPr>
            <w:hyperlink r:id="rId56">
              <w:r>
                <w:rPr>
                  <w:rFonts w:ascii="Times New Roman" w:cs="Times New Roman" w:eastAsia="Times New Roman" w:hAnsi="Times New Roman"/>
                  <w:sz w:val="14"/>
                  <w:szCs w:val="14"/>
                  <w:color w:val="0000EE"/>
                </w:rPr>
                <w:t>Form of Registration Rights Agreement, March 31, 2025, by and among Talphera, Inc. and</w:t>
              </w:r>
            </w:hyperlink>
          </w:p>
        </w:tc>
        <w:tc>
          <w:tcPr>
            <w:tcW w:w="12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8-K</w:t>
            </w:r>
          </w:p>
        </w:tc>
        <w:tc>
          <w:tcPr>
            <w:tcW w:w="168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001-35068</w:t>
            </w:r>
          </w:p>
        </w:tc>
        <w:tc>
          <w:tcPr>
            <w:tcW w:w="11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10.2</w:t>
            </w:r>
          </w:p>
        </w:tc>
        <w:tc>
          <w:tcPr>
            <w:tcW w:w="12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4/2/2025</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0000EE"/>
            </w:tcBorders>
            <w:gridSpan w:val="2"/>
          </w:tcPr>
          <w:p>
            <w:pPr>
              <w:spacing w:after="0" w:line="151" w:lineRule="exact"/>
              <w:rPr>
                <w:rFonts w:ascii="Times New Roman" w:cs="Times New Roman" w:eastAsia="Times New Roman" w:hAnsi="Times New Roman"/>
                <w:sz w:val="14"/>
                <w:szCs w:val="14"/>
                <w:color w:val="0000EE"/>
              </w:rPr>
            </w:pPr>
            <w:hyperlink r:id="rId56">
              <w:r>
                <w:rPr>
                  <w:rFonts w:ascii="Times New Roman" w:cs="Times New Roman" w:eastAsia="Times New Roman" w:hAnsi="Times New Roman"/>
                  <w:sz w:val="14"/>
                  <w:szCs w:val="14"/>
                  <w:color w:val="0000EE"/>
                </w:rPr>
                <w:t>the Purchasers.</w:t>
              </w:r>
            </w:hyperlink>
          </w:p>
        </w:tc>
        <w:tc>
          <w:tcPr>
            <w:tcW w:w="4260" w:type="dxa"/>
            <w:vAlign w:val="bottom"/>
            <w:gridSpan w:val="10"/>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7"/>
              </w:rPr>
              <w:t>10.3</w:t>
            </w:r>
          </w:p>
        </w:tc>
        <w:tc>
          <w:tcPr>
            <w:tcW w:w="140" w:type="dxa"/>
            <w:vAlign w:val="bottom"/>
          </w:tcPr>
          <w:p>
            <w:pPr>
              <w:spacing w:after="0"/>
              <w:rPr>
                <w:sz w:val="13"/>
                <w:szCs w:val="13"/>
                <w:color w:val="auto"/>
              </w:rPr>
            </w:pPr>
          </w:p>
        </w:tc>
        <w:tc>
          <w:tcPr>
            <w:tcW w:w="3340" w:type="dxa"/>
            <w:vAlign w:val="bottom"/>
            <w:tcBorders>
              <w:bottom w:val="single" w:sz="8" w:color="0000EE"/>
            </w:tcBorders>
            <w:gridSpan w:val="6"/>
          </w:tcPr>
          <w:p>
            <w:pPr>
              <w:spacing w:after="0" w:line="151" w:lineRule="exact"/>
              <w:rPr>
                <w:rFonts w:ascii="Times New Roman" w:cs="Times New Roman" w:eastAsia="Times New Roman" w:hAnsi="Times New Roman"/>
                <w:sz w:val="14"/>
                <w:szCs w:val="14"/>
                <w:color w:val="0000EE"/>
                <w:w w:val="99"/>
              </w:rPr>
            </w:pPr>
            <w:hyperlink r:id="rId57">
              <w:r>
                <w:rPr>
                  <w:rFonts w:ascii="Times New Roman" w:cs="Times New Roman" w:eastAsia="Times New Roman" w:hAnsi="Times New Roman"/>
                  <w:sz w:val="14"/>
                  <w:szCs w:val="14"/>
                  <w:color w:val="0000EE"/>
                  <w:w w:val="99"/>
                </w:rPr>
                <w:t>Form of Pre-Funded Common Stock Warrant (April 2025).</w:t>
              </w:r>
            </w:hyperlink>
          </w:p>
        </w:tc>
        <w:tc>
          <w:tcPr>
            <w:tcW w:w="1820" w:type="dxa"/>
            <w:vAlign w:val="bottom"/>
            <w:gridSpan w:val="6"/>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8-K</w:t>
            </w:r>
          </w:p>
        </w:tc>
        <w:tc>
          <w:tcPr>
            <w:tcW w:w="168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001-35068</w:t>
            </w:r>
          </w:p>
        </w:tc>
        <w:tc>
          <w:tcPr>
            <w:tcW w:w="11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10.3</w:t>
            </w:r>
          </w:p>
        </w:tc>
        <w:tc>
          <w:tcPr>
            <w:tcW w:w="1220" w:type="dxa"/>
            <w:vAlign w:val="bottom"/>
            <w:gridSpan w:val="2"/>
          </w:tcPr>
          <w:p>
            <w:pPr>
              <w:jc w:val="center"/>
              <w:ind w:left="29"/>
              <w:spacing w:after="0" w:line="151" w:lineRule="exact"/>
              <w:rPr>
                <w:sz w:val="20"/>
                <w:szCs w:val="20"/>
                <w:color w:val="auto"/>
              </w:rPr>
            </w:pPr>
            <w:r>
              <w:rPr>
                <w:rFonts w:ascii="Times New Roman" w:cs="Times New Roman" w:eastAsia="Times New Roman" w:hAnsi="Times New Roman"/>
                <w:sz w:val="14"/>
                <w:szCs w:val="14"/>
                <w:color w:val="auto"/>
              </w:rPr>
              <w:t>4/2/2025</w:t>
            </w:r>
          </w:p>
        </w:tc>
        <w:tc>
          <w:tcPr>
            <w:tcW w:w="0" w:type="dxa"/>
            <w:vAlign w:val="bottom"/>
          </w:tcPr>
          <w:p>
            <w:pPr>
              <w:spacing w:after="0"/>
              <w:rPr>
                <w:sz w:val="1"/>
                <w:szCs w:val="1"/>
                <w:color w:val="auto"/>
              </w:rPr>
            </w:pPr>
          </w:p>
        </w:tc>
      </w:tr>
      <w:tr>
        <w:trPr>
          <w:trHeight w:val="151"/>
        </w:trPr>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3"/>
                <w:szCs w:val="13"/>
                <w:color w:val="auto"/>
              </w:rPr>
            </w:pPr>
          </w:p>
        </w:tc>
        <w:tc>
          <w:tcPr>
            <w:tcW w:w="4080" w:type="dxa"/>
            <w:vAlign w:val="bottom"/>
            <w:tcBorders>
              <w:bottom w:val="single" w:sz="8" w:color="0000EE"/>
            </w:tcBorders>
            <w:gridSpan w:val="9"/>
          </w:tcPr>
          <w:p>
            <w:pPr>
              <w:spacing w:after="0" w:line="151" w:lineRule="exact"/>
              <w:rPr>
                <w:sz w:val="20"/>
                <w:szCs w:val="20"/>
                <w:color w:val="auto"/>
              </w:rPr>
            </w:pPr>
            <w:r>
              <w:rPr>
                <w:rFonts w:ascii="Times New Roman" w:cs="Times New Roman" w:eastAsia="Times New Roman" w:hAnsi="Times New Roman"/>
                <w:sz w:val="14"/>
                <w:szCs w:val="14"/>
                <w:color w:val="0000EE"/>
              </w:rPr>
              <w:t>Consent of BPM LLP, Independent Registered Public Accounting Firm.</w:t>
            </w:r>
          </w:p>
        </w:tc>
        <w:tc>
          <w:tcPr>
            <w:tcW w:w="10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9"/>
              </w:rPr>
              <w:t>107*</w:t>
            </w:r>
          </w:p>
        </w:tc>
        <w:tc>
          <w:tcPr>
            <w:tcW w:w="140" w:type="dxa"/>
            <w:vAlign w:val="bottom"/>
          </w:tcPr>
          <w:p>
            <w:pPr>
              <w:spacing w:after="0"/>
              <w:rPr>
                <w:sz w:val="13"/>
                <w:szCs w:val="13"/>
                <w:color w:val="auto"/>
              </w:rPr>
            </w:pPr>
          </w:p>
        </w:tc>
        <w:tc>
          <w:tcPr>
            <w:tcW w:w="5160" w:type="dxa"/>
            <w:vAlign w:val="bottom"/>
            <w:gridSpan w:val="12"/>
          </w:tcPr>
          <w:p>
            <w:pPr>
              <w:spacing w:after="0" w:line="151" w:lineRule="exact"/>
              <w:rPr>
                <w:sz w:val="20"/>
                <w:szCs w:val="20"/>
                <w:color w:val="auto"/>
              </w:rPr>
            </w:pPr>
            <w:r>
              <w:rPr>
                <w:rFonts w:ascii="Times New Roman" w:cs="Times New Roman" w:eastAsia="Times New Roman" w:hAnsi="Times New Roman"/>
                <w:sz w:val="14"/>
                <w:szCs w:val="14"/>
                <w:color w:val="0000EE"/>
              </w:rPr>
              <w:t>Filing Fee Table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1945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9455" cy="6985"/>
                    </a:xfrm>
                    <a:prstGeom prst="rect">
                      <a:avLst/>
                    </a:prstGeom>
                    <a:noFill/>
                  </pic:spPr>
                </pic:pic>
              </a:graphicData>
            </a:graphic>
          </wp:anchor>
        </w:drawing>
      </w:r>
    </w:p>
    <w:p>
      <w:pPr>
        <w:spacing w:after="0" w:line="254" w:lineRule="exact"/>
        <w:rPr>
          <w:sz w:val="20"/>
          <w:szCs w:val="20"/>
          <w:color w:val="auto"/>
        </w:rPr>
      </w:pPr>
    </w:p>
    <w:p>
      <w:pPr>
        <w:ind w:left="400" w:hanging="394"/>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24" w:name="page25"/>
    <w:bookmarkEnd w:id="24"/>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183" w:lineRule="exact"/>
        <w:rPr>
          <w:sz w:val="20"/>
          <w:szCs w:val="20"/>
          <w:color w:val="auto"/>
        </w:rPr>
      </w:pPr>
    </w:p>
    <w:p>
      <w:pPr>
        <w:ind w:left="520" w:hanging="514"/>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81" w:lineRule="exact"/>
        <w:rPr>
          <w:rFonts w:ascii="Times New Roman" w:cs="Times New Roman" w:eastAsia="Times New Roman" w:hAnsi="Times New Roman"/>
          <w:sz w:val="14"/>
          <w:szCs w:val="14"/>
          <w:color w:val="auto"/>
        </w:rPr>
      </w:pPr>
    </w:p>
    <w:p>
      <w:pPr>
        <w:ind w:left="1040" w:hanging="521"/>
        <w:spacing w:after="0"/>
        <w:tabs>
          <w:tab w:leader="none" w:pos="10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202" w:lineRule="exact"/>
        <w:rPr>
          <w:rFonts w:ascii="Times New Roman" w:cs="Times New Roman" w:eastAsia="Times New Roman" w:hAnsi="Times New Roman"/>
          <w:sz w:val="14"/>
          <w:szCs w:val="14"/>
          <w:color w:val="auto"/>
        </w:rPr>
      </w:pPr>
    </w:p>
    <w:p>
      <w:pPr>
        <w:ind w:left="1540" w:hanging="508"/>
        <w:spacing w:after="0"/>
        <w:tabs>
          <w:tab w:leader="none" w:pos="154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202" w:lineRule="exact"/>
        <w:rPr>
          <w:rFonts w:ascii="Times New Roman" w:cs="Times New Roman" w:eastAsia="Times New Roman" w:hAnsi="Times New Roman"/>
          <w:sz w:val="14"/>
          <w:szCs w:val="14"/>
          <w:color w:val="auto"/>
        </w:rPr>
      </w:pPr>
    </w:p>
    <w:p>
      <w:pPr>
        <w:jc w:val="both"/>
        <w:ind w:left="1540" w:hanging="508"/>
        <w:spacing w:after="0" w:line="262" w:lineRule="auto"/>
        <w:tabs>
          <w:tab w:leader="none" w:pos="154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42" w:lineRule="exact"/>
        <w:rPr>
          <w:rFonts w:ascii="Times New Roman" w:cs="Times New Roman" w:eastAsia="Times New Roman" w:hAnsi="Times New Roman"/>
          <w:sz w:val="14"/>
          <w:szCs w:val="14"/>
          <w:color w:val="auto"/>
        </w:rPr>
      </w:pPr>
    </w:p>
    <w:p>
      <w:pPr>
        <w:ind w:left="1540" w:hanging="508"/>
        <w:spacing w:after="0" w:line="290" w:lineRule="auto"/>
        <w:tabs>
          <w:tab w:leader="none" w:pos="154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2" w:lineRule="exact"/>
        <w:rPr>
          <w:sz w:val="20"/>
          <w:szCs w:val="20"/>
          <w:color w:val="auto"/>
        </w:rPr>
      </w:pPr>
    </w:p>
    <w:p>
      <w:pPr>
        <w:jc w:val="both"/>
        <w:ind w:left="1040"/>
        <w:spacing w:after="0" w:line="274"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(1)(i), (1)(ii) and (1)(iii) do not apply if the information required to be included in a post-effective amendment by those paragraphs is contained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35" w:lineRule="exact"/>
        <w:rPr>
          <w:sz w:val="20"/>
          <w:szCs w:val="20"/>
          <w:color w:val="auto"/>
        </w:rPr>
      </w:pPr>
    </w:p>
    <w:p>
      <w:pPr>
        <w:ind w:left="1040" w:hanging="521"/>
        <w:spacing w:after="0" w:line="290" w:lineRule="auto"/>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24" w:lineRule="exact"/>
        <w:rPr>
          <w:rFonts w:ascii="Times New Roman" w:cs="Times New Roman" w:eastAsia="Times New Roman" w:hAnsi="Times New Roman"/>
          <w:sz w:val="14"/>
          <w:szCs w:val="14"/>
          <w:color w:val="auto"/>
        </w:rPr>
      </w:pPr>
    </w:p>
    <w:p>
      <w:pPr>
        <w:ind w:left="1040" w:hanging="521"/>
        <w:spacing w:after="0"/>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202" w:lineRule="exact"/>
        <w:rPr>
          <w:rFonts w:ascii="Times New Roman" w:cs="Times New Roman" w:eastAsia="Times New Roman" w:hAnsi="Times New Roman"/>
          <w:sz w:val="14"/>
          <w:szCs w:val="14"/>
          <w:color w:val="auto"/>
        </w:rPr>
      </w:pPr>
    </w:p>
    <w:p>
      <w:pPr>
        <w:ind w:left="1040" w:hanging="521"/>
        <w:spacing w:after="0"/>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202" w:lineRule="exact"/>
        <w:rPr>
          <w:rFonts w:ascii="Times New Roman" w:cs="Times New Roman" w:eastAsia="Times New Roman" w:hAnsi="Times New Roman"/>
          <w:sz w:val="14"/>
          <w:szCs w:val="14"/>
          <w:color w:val="auto"/>
        </w:rPr>
      </w:pPr>
    </w:p>
    <w:p>
      <w:pPr>
        <w:ind w:left="1540" w:hanging="508"/>
        <w:spacing w:after="0" w:line="290" w:lineRule="auto"/>
        <w:tabs>
          <w:tab w:leader="none" w:pos="15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4" w:lineRule="exact"/>
        <w:rPr>
          <w:rFonts w:ascii="Times New Roman" w:cs="Times New Roman" w:eastAsia="Times New Roman" w:hAnsi="Times New Roman"/>
          <w:sz w:val="14"/>
          <w:szCs w:val="14"/>
          <w:color w:val="auto"/>
        </w:rPr>
      </w:pPr>
    </w:p>
    <w:p>
      <w:pPr>
        <w:jc w:val="both"/>
        <w:ind w:left="1540" w:hanging="508"/>
        <w:spacing w:after="0" w:line="259" w:lineRule="auto"/>
        <w:tabs>
          <w:tab w:leader="none" w:pos="15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25" w:name="page26"/>
    <w:bookmarkEnd w:id="25"/>
    <w:p>
      <w:pPr>
        <w:jc w:val="both"/>
        <w:ind w:left="1040" w:hanging="521"/>
        <w:spacing w:after="0" w:line="266" w:lineRule="auto"/>
        <w:tabs>
          <w:tab w:leader="none" w:pos="104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1" w:lineRule="exact"/>
        <w:rPr>
          <w:rFonts w:ascii="Times New Roman" w:cs="Times New Roman" w:eastAsia="Times New Roman" w:hAnsi="Times New Roman"/>
          <w:sz w:val="14"/>
          <w:szCs w:val="14"/>
          <w:color w:val="auto"/>
        </w:rPr>
      </w:pPr>
    </w:p>
    <w:p>
      <w:pPr>
        <w:ind w:left="1540" w:hanging="508"/>
        <w:spacing w:after="0"/>
        <w:tabs>
          <w:tab w:leader="none" w:pos="1540" w:val="left"/>
        </w:tabs>
        <w:numPr>
          <w:ilvl w:val="2"/>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202" w:lineRule="exact"/>
        <w:rPr>
          <w:rFonts w:ascii="Times New Roman" w:cs="Times New Roman" w:eastAsia="Times New Roman" w:hAnsi="Times New Roman"/>
          <w:sz w:val="14"/>
          <w:szCs w:val="14"/>
          <w:color w:val="auto"/>
        </w:rPr>
      </w:pPr>
    </w:p>
    <w:p>
      <w:pPr>
        <w:ind w:left="1540" w:hanging="508"/>
        <w:spacing w:after="0"/>
        <w:tabs>
          <w:tab w:leader="none" w:pos="1540" w:val="left"/>
        </w:tabs>
        <w:numPr>
          <w:ilvl w:val="2"/>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202" w:lineRule="exact"/>
        <w:rPr>
          <w:rFonts w:ascii="Times New Roman" w:cs="Times New Roman" w:eastAsia="Times New Roman" w:hAnsi="Times New Roman"/>
          <w:sz w:val="14"/>
          <w:szCs w:val="14"/>
          <w:color w:val="auto"/>
        </w:rPr>
      </w:pPr>
    </w:p>
    <w:p>
      <w:pPr>
        <w:ind w:left="1540" w:hanging="508"/>
        <w:spacing w:after="0" w:line="290" w:lineRule="auto"/>
        <w:tabs>
          <w:tab w:leader="none" w:pos="1540" w:val="left"/>
        </w:tabs>
        <w:numPr>
          <w:ilvl w:val="2"/>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4" w:lineRule="exact"/>
        <w:rPr>
          <w:rFonts w:ascii="Times New Roman" w:cs="Times New Roman" w:eastAsia="Times New Roman" w:hAnsi="Times New Roman"/>
          <w:sz w:val="14"/>
          <w:szCs w:val="14"/>
          <w:color w:val="auto"/>
        </w:rPr>
      </w:pPr>
    </w:p>
    <w:p>
      <w:pPr>
        <w:ind w:left="1540" w:hanging="508"/>
        <w:spacing w:after="0"/>
        <w:tabs>
          <w:tab w:leader="none" w:pos="1540" w:val="left"/>
        </w:tabs>
        <w:numPr>
          <w:ilvl w:val="2"/>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202" w:lineRule="exact"/>
        <w:rPr>
          <w:rFonts w:ascii="Times New Roman" w:cs="Times New Roman" w:eastAsia="Times New Roman" w:hAnsi="Times New Roman"/>
          <w:sz w:val="14"/>
          <w:szCs w:val="14"/>
          <w:color w:val="auto"/>
        </w:rPr>
      </w:pPr>
    </w:p>
    <w:p>
      <w:pPr>
        <w:jc w:val="both"/>
        <w:ind w:left="520" w:hanging="514"/>
        <w:spacing w:after="0" w:line="266"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41" w:lineRule="exact"/>
        <w:rPr>
          <w:rFonts w:ascii="Times New Roman" w:cs="Times New Roman" w:eastAsia="Times New Roman" w:hAnsi="Times New Roman"/>
          <w:sz w:val="14"/>
          <w:szCs w:val="14"/>
          <w:color w:val="auto"/>
        </w:rPr>
      </w:pPr>
    </w:p>
    <w:p>
      <w:pPr>
        <w:jc w:val="both"/>
        <w:ind w:left="520" w:hanging="514"/>
        <w:spacing w:after="0" w:line="262"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7160895"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488"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3" w:lineRule="exact"/>
        <w:rPr>
          <w:sz w:val="20"/>
          <w:szCs w:val="20"/>
          <w:color w:val="auto"/>
        </w:rPr>
      </w:pPr>
    </w:p>
    <w:p>
      <w:pPr>
        <w:jc w:val="both"/>
        <w:ind w:firstLine="256"/>
        <w:spacing w:after="0" w:line="29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Mateo, State of California, on March 24, 2026.</w:t>
      </w:r>
    </w:p>
    <w:p>
      <w:pPr>
        <w:spacing w:after="0" w:line="1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TALPHERA, INC.</w:t>
      </w:r>
    </w:p>
    <w:p>
      <w:pPr>
        <w:spacing w:after="0" w:line="354"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4"/>
          <w:szCs w:val="14"/>
          <w:color w:val="auto"/>
        </w:rPr>
        <w:t>By:</w:t>
        <w:tab/>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V</w:t>
      </w:r>
      <w:r>
        <w:rPr>
          <w:rFonts w:ascii="Times New Roman" w:cs="Times New Roman" w:eastAsia="Times New Roman" w:hAnsi="Times New Roman"/>
          <w:sz w:val="9"/>
          <w:szCs w:val="9"/>
          <w:color w:val="auto"/>
        </w:rPr>
        <w:t>incent</w:t>
      </w:r>
      <w:r>
        <w:rPr>
          <w:rFonts w:ascii="Times New Roman" w:cs="Times New Roman" w:eastAsia="Times New Roman" w:hAnsi="Times New Roman"/>
          <w:sz w:val="14"/>
          <w:szCs w:val="14"/>
          <w:color w:val="auto"/>
        </w:rPr>
        <w:t xml:space="preserve"> J. A</w:t>
      </w:r>
      <w:r>
        <w:rPr>
          <w:rFonts w:ascii="Times New Roman" w:cs="Times New Roman" w:eastAsia="Times New Roman" w:hAnsi="Times New Roman"/>
          <w:sz w:val="9"/>
          <w:szCs w:val="9"/>
          <w:color w:val="auto"/>
        </w:rPr>
        <w:t>ngotti</w:t>
      </w:r>
    </w:p>
    <w:p>
      <w:pPr>
        <w:spacing w:after="0" w:line="2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Vincent J. Angotti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-100965</wp:posOffset>
            </wp:positionV>
            <wp:extent cx="250444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2504440" cy="6985"/>
                    </a:xfrm>
                    <a:prstGeom prst="rect">
                      <a:avLst/>
                    </a:prstGeom>
                    <a:noFill/>
                  </pic:spPr>
                </pic:pic>
              </a:graphicData>
            </a:graphic>
          </wp:anchor>
        </w:drawing>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jc w:val="both"/>
        <w:ind w:firstLine="256"/>
        <w:spacing w:after="0" w:line="261"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each person whose signature appears below constitutes and appoints Vincent J. Angotti and Raffi Asadorian, and each of them, as true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Talphera,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ratifying and confirming all that said attorneys-in-fact and agents, or any of them, or their substitutes or substitute, may lawfully do or cause to be done by virtue hereof.</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32"/>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V</w:t>
            </w:r>
            <w:r>
              <w:rPr>
                <w:rFonts w:ascii="Times New Roman" w:cs="Times New Roman" w:eastAsia="Times New Roman" w:hAnsi="Times New Roman"/>
                <w:sz w:val="9"/>
                <w:szCs w:val="9"/>
                <w:color w:val="auto"/>
              </w:rPr>
              <w:t>incent</w:t>
            </w:r>
            <w:r>
              <w:rPr>
                <w:rFonts w:ascii="Times New Roman" w:cs="Times New Roman" w:eastAsia="Times New Roman" w:hAnsi="Times New Roman"/>
                <w:sz w:val="14"/>
                <w:szCs w:val="14"/>
                <w:color w:val="auto"/>
              </w:rPr>
              <w:t xml:space="preserve"> J. A</w:t>
            </w:r>
            <w:r>
              <w:rPr>
                <w:rFonts w:ascii="Times New Roman" w:cs="Times New Roman" w:eastAsia="Times New Roman" w:hAnsi="Times New Roman"/>
                <w:sz w:val="9"/>
                <w:szCs w:val="9"/>
                <w:color w:val="auto"/>
              </w:rPr>
              <w:t>ngotti</w:t>
            </w:r>
          </w:p>
        </w:tc>
        <w:tc>
          <w:tcPr>
            <w:tcW w:w="8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24, 2026</w:t>
            </w:r>
          </w:p>
        </w:tc>
      </w:tr>
      <w:tr>
        <w:trPr>
          <w:trHeight w:val="176"/>
        </w:trPr>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Vincent J. Angotti</w:t>
            </w:r>
          </w:p>
        </w:tc>
        <w:tc>
          <w:tcPr>
            <w:tcW w:w="80" w:type="dxa"/>
            <w:vAlign w:val="bottom"/>
          </w:tcPr>
          <w:p>
            <w:pPr>
              <w:spacing w:after="0"/>
              <w:rPr>
                <w:sz w:val="15"/>
                <w:szCs w:val="15"/>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7"/>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R</w:t>
            </w:r>
            <w:r>
              <w:rPr>
                <w:rFonts w:ascii="Times New Roman" w:cs="Times New Roman" w:eastAsia="Times New Roman" w:hAnsi="Times New Roman"/>
                <w:sz w:val="9"/>
                <w:szCs w:val="9"/>
                <w:color w:val="auto"/>
              </w:rPr>
              <w:t>affi</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9"/>
                <w:szCs w:val="9"/>
                <w:color w:val="auto"/>
              </w:rPr>
              <w:t>sadorian</w:t>
            </w:r>
          </w:p>
        </w:tc>
        <w:tc>
          <w:tcPr>
            <w:tcW w:w="8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24, 2026</w:t>
            </w:r>
          </w:p>
        </w:tc>
      </w:tr>
      <w:tr>
        <w:trPr>
          <w:trHeight w:val="176"/>
        </w:trPr>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Raffi Asadorian</w:t>
            </w:r>
          </w:p>
        </w:tc>
        <w:tc>
          <w:tcPr>
            <w:tcW w:w="80" w:type="dxa"/>
            <w:vAlign w:val="bottom"/>
          </w:tcPr>
          <w:p>
            <w:pPr>
              <w:spacing w:after="0"/>
              <w:rPr>
                <w:sz w:val="15"/>
                <w:szCs w:val="15"/>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A</w:t>
            </w:r>
            <w:r>
              <w:rPr>
                <w:rFonts w:ascii="Times New Roman" w:cs="Times New Roman" w:eastAsia="Times New Roman" w:hAnsi="Times New Roman"/>
                <w:sz w:val="9"/>
                <w:szCs w:val="9"/>
                <w:color w:val="auto"/>
              </w:rPr>
              <w:t>drian</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9"/>
                <w:szCs w:val="9"/>
                <w:color w:val="auto"/>
              </w:rPr>
              <w:t>dams</w:t>
            </w:r>
          </w:p>
        </w:tc>
        <w:tc>
          <w:tcPr>
            <w:tcW w:w="8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24, 2026</w:t>
            </w:r>
          </w:p>
        </w:tc>
      </w:tr>
      <w:tr>
        <w:trPr>
          <w:trHeight w:val="176"/>
        </w:trPr>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Adrian Adams</w:t>
            </w:r>
          </w:p>
        </w:tc>
        <w:tc>
          <w:tcPr>
            <w:tcW w:w="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M</w:t>
            </w:r>
            <w:r>
              <w:rPr>
                <w:rFonts w:ascii="Times New Roman" w:cs="Times New Roman" w:eastAsia="Times New Roman" w:hAnsi="Times New Roman"/>
                <w:sz w:val="9"/>
                <w:szCs w:val="9"/>
                <w:color w:val="auto"/>
              </w:rPr>
              <w:t>arina</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9"/>
                <w:szCs w:val="9"/>
                <w:color w:val="auto"/>
              </w:rPr>
              <w:t>ozilenko</w:t>
            </w:r>
          </w:p>
        </w:tc>
        <w:tc>
          <w:tcPr>
            <w:tcW w:w="8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24, 2026</w:t>
            </w:r>
          </w:p>
        </w:tc>
      </w:tr>
      <w:tr>
        <w:trPr>
          <w:trHeight w:val="176"/>
        </w:trPr>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Marina Bozilenko</w:t>
            </w:r>
          </w:p>
        </w:tc>
        <w:tc>
          <w:tcPr>
            <w:tcW w:w="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J</w:t>
            </w:r>
            <w:r>
              <w:rPr>
                <w:rFonts w:ascii="Times New Roman" w:cs="Times New Roman" w:eastAsia="Times New Roman" w:hAnsi="Times New Roman"/>
                <w:sz w:val="9"/>
                <w:szCs w:val="9"/>
                <w:color w:val="auto"/>
              </w:rPr>
              <w:t>ill</w:t>
            </w:r>
            <w:r>
              <w:rPr>
                <w:rFonts w:ascii="Times New Roman" w:cs="Times New Roman" w:eastAsia="Times New Roman" w:hAnsi="Times New Roman"/>
                <w:sz w:val="14"/>
                <w:szCs w:val="14"/>
                <w:color w:val="auto"/>
              </w:rPr>
              <w:t xml:space="preserve"> M. B</w:t>
            </w:r>
            <w:r>
              <w:rPr>
                <w:rFonts w:ascii="Times New Roman" w:cs="Times New Roman" w:eastAsia="Times New Roman" w:hAnsi="Times New Roman"/>
                <w:sz w:val="9"/>
                <w:szCs w:val="9"/>
                <w:color w:val="auto"/>
              </w:rPr>
              <w:t>roadfoot</w:t>
            </w:r>
          </w:p>
        </w:tc>
        <w:tc>
          <w:tcPr>
            <w:tcW w:w="8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24, 2026</w:t>
            </w:r>
          </w:p>
        </w:tc>
      </w:tr>
      <w:tr>
        <w:trPr>
          <w:trHeight w:val="176"/>
        </w:trPr>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Jill M. Broadfoot</w:t>
            </w:r>
          </w:p>
        </w:tc>
        <w:tc>
          <w:tcPr>
            <w:tcW w:w="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S</w:t>
            </w:r>
            <w:r>
              <w:rPr>
                <w:rFonts w:ascii="Times New Roman" w:cs="Times New Roman" w:eastAsia="Times New Roman" w:hAnsi="Times New Roman"/>
                <w:sz w:val="9"/>
                <w:szCs w:val="9"/>
                <w:color w:val="auto"/>
              </w:rPr>
              <w:t>tephen</w:t>
            </w:r>
            <w:r>
              <w:rPr>
                <w:rFonts w:ascii="Times New Roman" w:cs="Times New Roman" w:eastAsia="Times New Roman" w:hAnsi="Times New Roman"/>
                <w:sz w:val="14"/>
                <w:szCs w:val="14"/>
                <w:color w:val="auto"/>
              </w:rPr>
              <w:t xml:space="preserve"> J. H</w:t>
            </w:r>
            <w:r>
              <w:rPr>
                <w:rFonts w:ascii="Times New Roman" w:cs="Times New Roman" w:eastAsia="Times New Roman" w:hAnsi="Times New Roman"/>
                <w:sz w:val="9"/>
                <w:szCs w:val="9"/>
                <w:color w:val="auto"/>
              </w:rPr>
              <w:t>offman</w:t>
            </w:r>
            <w:r>
              <w:rPr>
                <w:rFonts w:ascii="Times New Roman" w:cs="Times New Roman" w:eastAsia="Times New Roman" w:hAnsi="Times New Roman"/>
                <w:sz w:val="14"/>
                <w:szCs w:val="14"/>
                <w:color w:val="auto"/>
              </w:rPr>
              <w:t>, P</w:t>
            </w:r>
            <w:r>
              <w:rPr>
                <w:rFonts w:ascii="Times New Roman" w:cs="Times New Roman" w:eastAsia="Times New Roman" w:hAnsi="Times New Roman"/>
                <w:sz w:val="9"/>
                <w:szCs w:val="9"/>
                <w:color w:val="auto"/>
              </w:rPr>
              <w:t>h</w:t>
            </w:r>
            <w:r>
              <w:rPr>
                <w:rFonts w:ascii="Times New Roman" w:cs="Times New Roman" w:eastAsia="Times New Roman" w:hAnsi="Times New Roman"/>
                <w:sz w:val="14"/>
                <w:szCs w:val="14"/>
                <w:color w:val="auto"/>
              </w:rPr>
              <w:t>.D., M.D.</w:t>
            </w:r>
          </w:p>
        </w:tc>
        <w:tc>
          <w:tcPr>
            <w:tcW w:w="8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24, 2026</w:t>
            </w:r>
          </w:p>
        </w:tc>
      </w:tr>
      <w:tr>
        <w:trPr>
          <w:trHeight w:val="176"/>
        </w:trPr>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Stephen J. Hoffman, Ph.D., M.D.</w:t>
            </w:r>
          </w:p>
        </w:tc>
        <w:tc>
          <w:tcPr>
            <w:tcW w:w="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A</w:t>
            </w:r>
            <w:r>
              <w:rPr>
                <w:rFonts w:ascii="Times New Roman" w:cs="Times New Roman" w:eastAsia="Times New Roman" w:hAnsi="Times New Roman"/>
                <w:sz w:val="9"/>
                <w:szCs w:val="9"/>
                <w:color w:val="auto"/>
              </w:rPr>
              <w:t>bhinav</w:t>
            </w:r>
            <w:r>
              <w:rPr>
                <w:rFonts w:ascii="Times New Roman" w:cs="Times New Roman" w:eastAsia="Times New Roman" w:hAnsi="Times New Roman"/>
                <w:sz w:val="14"/>
                <w:szCs w:val="14"/>
                <w:color w:val="auto"/>
              </w:rPr>
              <w:t xml:space="preserve"> J</w:t>
            </w:r>
            <w:r>
              <w:rPr>
                <w:rFonts w:ascii="Times New Roman" w:cs="Times New Roman" w:eastAsia="Times New Roman" w:hAnsi="Times New Roman"/>
                <w:sz w:val="9"/>
                <w:szCs w:val="9"/>
                <w:color w:val="auto"/>
              </w:rPr>
              <w:t>ain</w:t>
            </w:r>
          </w:p>
        </w:tc>
        <w:tc>
          <w:tcPr>
            <w:tcW w:w="8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24, 2026</w:t>
            </w:r>
          </w:p>
        </w:tc>
      </w:tr>
      <w:tr>
        <w:trPr>
          <w:trHeight w:val="176"/>
        </w:trPr>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Abhinav Jain</w:t>
            </w:r>
          </w:p>
        </w:tc>
        <w:tc>
          <w:tcPr>
            <w:tcW w:w="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J</w:t>
            </w:r>
            <w:r>
              <w:rPr>
                <w:rFonts w:ascii="Times New Roman" w:cs="Times New Roman" w:eastAsia="Times New Roman" w:hAnsi="Times New Roman"/>
                <w:sz w:val="9"/>
                <w:szCs w:val="9"/>
                <w:color w:val="auto"/>
              </w:rPr>
              <w:t>oseph</w:t>
            </w:r>
            <w:r>
              <w:rPr>
                <w:rFonts w:ascii="Times New Roman" w:cs="Times New Roman" w:eastAsia="Times New Roman" w:hAnsi="Times New Roman"/>
                <w:sz w:val="14"/>
                <w:szCs w:val="14"/>
                <w:color w:val="auto"/>
              </w:rPr>
              <w:t xml:space="preserve"> T</w:t>
            </w:r>
            <w:r>
              <w:rPr>
                <w:rFonts w:ascii="Times New Roman" w:cs="Times New Roman" w:eastAsia="Times New Roman" w:hAnsi="Times New Roman"/>
                <w:sz w:val="9"/>
                <w:szCs w:val="9"/>
                <w:color w:val="auto"/>
              </w:rPr>
              <w:t>odisco</w:t>
            </w:r>
          </w:p>
        </w:tc>
        <w:tc>
          <w:tcPr>
            <w:tcW w:w="8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24, 2026</w:t>
            </w:r>
          </w:p>
        </w:tc>
      </w:tr>
      <w:tr>
        <w:trPr>
          <w:trHeight w:val="176"/>
        </w:trPr>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Joseph Todisco</w:t>
            </w:r>
          </w:p>
        </w:tc>
        <w:tc>
          <w:tcPr>
            <w:tcW w:w="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M</w:t>
            </w:r>
            <w:r>
              <w:rPr>
                <w:rFonts w:ascii="Times New Roman" w:cs="Times New Roman" w:eastAsia="Times New Roman" w:hAnsi="Times New Roman"/>
                <w:sz w:val="9"/>
                <w:szCs w:val="9"/>
                <w:color w:val="auto"/>
              </w:rPr>
              <w:t>ark</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9"/>
                <w:szCs w:val="9"/>
                <w:color w:val="auto"/>
              </w:rPr>
              <w:t>an</w:t>
            </w:r>
          </w:p>
        </w:tc>
        <w:tc>
          <w:tcPr>
            <w:tcW w:w="8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24, 2026</w:t>
            </w:r>
          </w:p>
        </w:tc>
      </w:tr>
      <w:tr>
        <w:trPr>
          <w:trHeight w:val="176"/>
        </w:trPr>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Mark Wan</w:t>
            </w:r>
          </w:p>
        </w:tc>
        <w:tc>
          <w:tcPr>
            <w:tcW w:w="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7"/>
        </w:trPr>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4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II-5</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80"/>
          </w:cols>
          <w:pgMar w:left="300" w:top="486" w:right="3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963930" cy="360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9639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John T. McKenna</w:t>
      </w:r>
    </w:p>
    <w:p>
      <w:pPr>
        <w:spacing w:after="0" w:line="24" w:lineRule="exact"/>
        <w:rPr>
          <w:sz w:val="20"/>
          <w:szCs w:val="20"/>
          <w:color w:val="auto"/>
        </w:rPr>
      </w:pPr>
    </w:p>
    <w:p>
      <w:pPr>
        <w:ind w:right="9940" w:firstLine="6"/>
        <w:spacing w:after="0" w:line="269" w:lineRule="auto"/>
        <w:tabs>
          <w:tab w:leader="none" w:pos="15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+1 650 843 5059 jmckenna@cooley.com</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24,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Talphera,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1850 Gateway Drive, Suite 175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Mateo, CA 94404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acted as counsel to Talphera,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by the Company of a Registration Statement on Form S-3 (the “</w:t>
      </w:r>
      <w:r>
        <w:rPr>
          <w:rFonts w:ascii="Times New Roman" w:cs="Times New Roman" w:eastAsia="Times New Roman" w:hAnsi="Times New Roman"/>
          <w:sz w:val="14"/>
          <w:szCs w:val="14"/>
          <w:b w:val="1"/>
          <w:bCs w:val="1"/>
          <w:i w:val="1"/>
          <w:iCs w:val="1"/>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Statement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including a related prospectus included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Registration Statement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covering the registration for resale of up to 7,039,247 shares of the common stock, $0.001 par value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of the Company consisting of</w:t>
      </w:r>
    </w:p>
    <w:p>
      <w:pPr>
        <w:spacing w:after="0" w:line="2" w:lineRule="exact"/>
        <w:rPr>
          <w:sz w:val="20"/>
          <w:szCs w:val="20"/>
          <w:color w:val="auto"/>
        </w:rPr>
      </w:pPr>
    </w:p>
    <w:p>
      <w:pPr>
        <w:jc w:val="both"/>
        <w:ind w:firstLine="6"/>
        <w:spacing w:after="0" w:line="262" w:lineRule="auto"/>
        <w:tabs>
          <w:tab w:leader="none" w:pos="19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639,931 shares (the “</w:t>
      </w:r>
      <w:r>
        <w:rPr>
          <w:rFonts w:ascii="Times New Roman" w:cs="Times New Roman" w:eastAsia="Times New Roman" w:hAnsi="Times New Roman"/>
          <w:sz w:val="14"/>
          <w:szCs w:val="14"/>
          <w:b w:val="1"/>
          <w:bCs w:val="1"/>
          <w:i w:val="1"/>
          <w:iCs w:val="1"/>
          <w:color w:val="auto"/>
        </w:rPr>
        <w:t>Shares</w:t>
      </w:r>
      <w:r>
        <w:rPr>
          <w:rFonts w:ascii="Times New Roman" w:cs="Times New Roman" w:eastAsia="Times New Roman" w:hAnsi="Times New Roman"/>
          <w:sz w:val="14"/>
          <w:szCs w:val="14"/>
          <w:color w:val="auto"/>
        </w:rPr>
        <w:t>”) of Common Stock that are currently outstanding, (b) up to 6,399,316 shares of Common Stock (the “</w:t>
      </w:r>
      <w:r>
        <w:rPr>
          <w:rFonts w:ascii="Times New Roman" w:cs="Times New Roman" w:eastAsia="Times New Roman" w:hAnsi="Times New Roman"/>
          <w:sz w:val="14"/>
          <w:szCs w:val="14"/>
          <w:b w:val="1"/>
          <w:bCs w:val="1"/>
          <w:i w:val="1"/>
          <w:iCs w:val="1"/>
          <w:color w:val="auto"/>
        </w:rPr>
        <w:t>Warrant Shares</w:t>
      </w:r>
      <w:r>
        <w:rPr>
          <w:rFonts w:ascii="Times New Roman" w:cs="Times New Roman" w:eastAsia="Times New Roman" w:hAnsi="Times New Roman"/>
          <w:sz w:val="14"/>
          <w:szCs w:val="14"/>
          <w:color w:val="auto"/>
        </w:rPr>
        <w:t>”) issuable upon the exercise of outstanding pre-funded 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The Shares and the Warrants were issued by the Company pursuant to those certain Securities Purchase Agreements (the “</w:t>
      </w:r>
      <w:r>
        <w:rPr>
          <w:rFonts w:ascii="Times New Roman" w:cs="Times New Roman" w:eastAsia="Times New Roman" w:hAnsi="Times New Roman"/>
          <w:sz w:val="14"/>
          <w:szCs w:val="14"/>
          <w:b w:val="1"/>
          <w:bCs w:val="1"/>
          <w:i w:val="1"/>
          <w:iCs w:val="1"/>
          <w:color w:val="auto"/>
        </w:rPr>
        <w:t>Purchase Agreements</w:t>
      </w:r>
      <w:r>
        <w:rPr>
          <w:rFonts w:ascii="Times New Roman" w:cs="Times New Roman" w:eastAsia="Times New Roman" w:hAnsi="Times New Roman"/>
          <w:sz w:val="14"/>
          <w:szCs w:val="14"/>
          <w:color w:val="auto"/>
        </w:rPr>
        <w:t>”) dated March 31, 2025.</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Registration Statement, the Prospectus, the forms of the Warrants, the Purchase Agreements,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antifraud law, rule or regulation relating to securities or to the sale or issuance thereof.</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or that the consideration payable upon exercise price of the Warrants is adjusted to an amount below the par value per share of the Common Stock.</w:t>
      </w:r>
    </w:p>
    <w:p>
      <w:pPr>
        <w:spacing w:after="0" w:line="1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On the basis of the foregoing, and in reliance thereon, and subject to the assumption, qualifications, limitations and exceptions set forth herein, we are of the opinion that (i) the Shares are validly issued, fully paid and nonassessable, and (ii) the Warrant Shares, when issued and paid for in accordance with the terms of the Warrants, will be validly issued, fully paid and nonassessable.</w:t>
      </w:r>
    </w:p>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color w:val="auto"/>
        </w:rPr>
        <w:t>Cooley LLP  3175 Hanover Street  Palo Alto, CA  94304-1130</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color w:val="auto"/>
        </w:rPr>
        <w:t>t: +1 650 843 5000 f: +1 650 849 7400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173990</wp:posOffset>
            </wp:positionV>
            <wp:extent cx="7160895"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210820</wp:posOffset>
            </wp:positionV>
            <wp:extent cx="963930" cy="360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963930" cy="360045"/>
                    </a:xfrm>
                    <a:prstGeom prst="rect">
                      <a:avLst/>
                    </a:prstGeom>
                    <a:noFill/>
                  </pic:spPr>
                </pic:pic>
              </a:graphicData>
            </a:graphic>
          </wp:anchor>
        </w:drawing>
        <w:t>Talphera,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24,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Two</w:t>
      </w:r>
    </w:p>
    <w:p>
      <w:pPr>
        <w:spacing w:after="0" w:line="1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Our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spacing w:after="0" w:line="1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Sincerely,</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Cooley LLP</w:t>
      </w:r>
    </w:p>
    <w:p>
      <w:pPr>
        <w:spacing w:after="0" w:line="3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By: /s/ John T. McKenna</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John T.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-100965</wp:posOffset>
            </wp:positionV>
            <wp:extent cx="333946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3339465" cy="698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Cooley LLP  3175 Hanover Street  Palo Alto, CA  94304-1130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 +1 650 843 5000 f: +1 650 849 7400 cooley.com</w:t>
      </w:r>
    </w:p>
    <w:p>
      <w:pPr>
        <w:sectPr>
          <w:pgSz w:w="11900" w:h="16838" w:orient="portrait"/>
          <w:cols w:equalWidth="0" w:num="1">
            <w:col w:w="11280"/>
          </w:cols>
          <w:pgMar w:left="300" w:top="1055" w:right="3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Talphera, Inc. of our report dated March 23, 2026 relating to the consolidated financial statements, which appears in Talphera, Inc.’s Annual Report on Form 10-K for the year ended December 31, 2025. We also consent to the reference to us under the heading “Experts” in such Registration Statement.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BPM LLP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Walnut Creek,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24, 2026</w:t>
      </w:r>
    </w:p>
    <w:p>
      <w:pPr>
        <w:sectPr>
          <w:pgSz w:w="11900" w:h="16838" w:orient="portrait"/>
          <w:cols w:equalWidth="0" w:num="1">
            <w:col w:w="11280"/>
          </w:cols>
          <w:pgMar w:left="300" w:top="123" w:right="319" w:bottom="1440" w:gutter="0" w:footer="0" w:header="0"/>
        </w:sectPr>
      </w:pPr>
    </w:p>
    <w:bookmarkStart w:id="30" w:name="page31"/>
    <w:bookmarkEnd w:id="30"/>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TALPHERA, INC.</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37"/>
              <w:spacing w:after="0"/>
              <w:rPr>
                <w:sz w:val="20"/>
                <w:szCs w:val="20"/>
                <w:color w:val="auto"/>
              </w:rPr>
            </w:pPr>
            <w:r>
              <w:rPr>
                <w:rFonts w:ascii="Arial" w:cs="Arial" w:eastAsia="Arial" w:hAnsi="Arial"/>
                <w:sz w:val="17"/>
                <w:szCs w:val="17"/>
                <w:b w:val="1"/>
                <w:bCs w:val="1"/>
                <w:color w:val="auto"/>
              </w:rPr>
              <w:t>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right"/>
              <w:ind w:right="54"/>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Maximum</w:t>
            </w:r>
          </w:p>
        </w:tc>
        <w:tc>
          <w:tcPr>
            <w:tcW w:w="4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20"/>
              <w:spacing w:after="0" w:line="171"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820" w:type="dxa"/>
            <w:vAlign w:val="bottom"/>
            <w:shd w:val="clear" w:color="auto" w:fill="9ADAF6"/>
          </w:tcPr>
          <w:p>
            <w:pPr>
              <w:jc w:val="center"/>
              <w:ind w:left="37"/>
              <w:spacing w:after="0" w:line="171" w:lineRule="exact"/>
              <w:rPr>
                <w:sz w:val="20"/>
                <w:szCs w:val="20"/>
                <w:color w:val="auto"/>
              </w:rPr>
            </w:pPr>
            <w:r>
              <w:rPr>
                <w:rFonts w:ascii="Arial" w:cs="Arial" w:eastAsia="Arial" w:hAnsi="Arial"/>
                <w:sz w:val="17"/>
                <w:szCs w:val="17"/>
                <w:b w:val="1"/>
                <w:bCs w:val="1"/>
                <w:color w:val="auto"/>
                <w:w w:val="99"/>
              </w:rPr>
              <w:t>or Carry</w:t>
            </w: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ind w:left="14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3"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7"/>
              <w:spacing w:after="0" w:line="193" w:lineRule="exact"/>
              <w:rPr>
                <w:sz w:val="20"/>
                <w:szCs w:val="20"/>
                <w:color w:val="auto"/>
              </w:rPr>
            </w:pPr>
            <w:r>
              <w:rPr>
                <w:rFonts w:ascii="Arial" w:cs="Arial" w:eastAsia="Arial" w:hAnsi="Arial"/>
                <w:sz w:val="17"/>
                <w:szCs w:val="17"/>
                <w:b w:val="1"/>
                <w:bCs w:val="1"/>
                <w:color w:val="auto"/>
                <w:w w:val="98"/>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3"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37"/>
              <w:spacing w:after="0"/>
              <w:rPr>
                <w:sz w:val="20"/>
                <w:szCs w:val="20"/>
                <w:color w:val="auto"/>
              </w:rPr>
            </w:pPr>
            <w:r>
              <w:rPr>
                <w:rFonts w:ascii="Arial" w:cs="Arial" w:eastAsia="Arial" w:hAnsi="Arial"/>
                <w:sz w:val="17"/>
                <w:szCs w:val="17"/>
                <w:b w:val="1"/>
                <w:bCs w:val="1"/>
                <w:color w:val="auto"/>
              </w:rPr>
              <w:t>Rule</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40" w:type="dxa"/>
            <w:vAlign w:val="bottom"/>
          </w:tcPr>
          <w:p>
            <w:pPr>
              <w:spacing w:after="0"/>
              <w:rPr>
                <w:sz w:val="10"/>
                <w:szCs w:val="10"/>
                <w:color w:val="auto"/>
              </w:rPr>
            </w:pPr>
          </w:p>
        </w:tc>
        <w:tc>
          <w:tcPr>
            <w:tcW w:w="10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shd w:val="clear" w:color="auto" w:fill="9ADAF6"/>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right w:val="single" w:sz="8" w:color="auto"/>
            </w:tcBorders>
            <w:vMerge w:val="restart"/>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14"/>
                <w:szCs w:val="14"/>
                <w:color w:val="auto"/>
              </w:rPr>
            </w:pPr>
          </w:p>
        </w:tc>
        <w:tc>
          <w:tcPr>
            <w:tcW w:w="70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2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820" w:type="dxa"/>
            <w:vAlign w:val="bottom"/>
            <w:shd w:val="clear" w:color="auto" w:fill="E7E7E2"/>
          </w:tcPr>
          <w:p>
            <w:pPr>
              <w:jc w:val="center"/>
              <w:ind w:left="37"/>
              <w:spacing w:after="0" w:line="171" w:lineRule="exact"/>
              <w:rPr>
                <w:sz w:val="20"/>
                <w:szCs w:val="20"/>
                <w:color w:val="auto"/>
              </w:rPr>
            </w:pPr>
            <w:r>
              <w:rPr>
                <w:rFonts w:ascii="Arial" w:cs="Arial" w:eastAsia="Arial" w:hAnsi="Arial"/>
                <w:sz w:val="17"/>
                <w:szCs w:val="17"/>
                <w:color w:val="auto"/>
                <w:w w:val="98"/>
              </w:rPr>
              <w:t>Other</w:t>
            </w: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7,039,247</w:t>
            </w: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$ 0.79</w:t>
            </w:r>
          </w:p>
        </w:tc>
        <w:tc>
          <w:tcPr>
            <w:tcW w:w="4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$ 767.97</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$0.001</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jc w:val="right"/>
              <w:spacing w:after="0" w:line="193" w:lineRule="exact"/>
              <w:rPr>
                <w:sz w:val="20"/>
                <w:szCs w:val="20"/>
                <w:color w:val="auto"/>
              </w:rPr>
            </w:pPr>
            <w:r>
              <w:rPr>
                <w:rFonts w:ascii="Arial" w:cs="Arial" w:eastAsia="Arial" w:hAnsi="Arial"/>
                <w:sz w:val="17"/>
                <w:szCs w:val="17"/>
                <w:color w:val="auto"/>
                <w:w w:val="98"/>
              </w:rPr>
              <w:t>5,561,005.13</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w w:val="99"/>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3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$ 767.97</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5,561,005.13</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$ 767.97</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5" w:lineRule="exact"/>
        <w:rPr>
          <w:sz w:val="20"/>
          <w:szCs w:val="20"/>
          <w:color w:val="auto"/>
        </w:rPr>
      </w:pPr>
    </w:p>
    <w:p>
      <w:pPr>
        <w:ind w:left="220" w:right="520" w:hanging="1"/>
        <w:spacing w:after="0" w:line="272" w:lineRule="auto"/>
        <w:tabs>
          <w:tab w:leader="none" w:pos="477"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7,039,247 shares of the Registrant's common stock registered for resale by the selling stockholders named in this registration statement.</w:t>
      </w:r>
    </w:p>
    <w:p>
      <w:pPr>
        <w:spacing w:after="0" w:line="134" w:lineRule="exact"/>
        <w:rPr>
          <w:rFonts w:ascii="Arial" w:cs="Arial" w:eastAsia="Arial" w:hAnsi="Arial"/>
          <w:sz w:val="17"/>
          <w:szCs w:val="17"/>
          <w:color w:val="auto"/>
        </w:rPr>
      </w:pPr>
    </w:p>
    <w:p>
      <w:pPr>
        <w:ind w:left="220" w:right="240" w:hanging="1"/>
        <w:spacing w:after="0" w:line="254" w:lineRule="auto"/>
        <w:tabs>
          <w:tab w:leader="none" w:pos="477"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Estimated solely for the purposes of calculating the registration fee. Pursuant to Rule 457(c) under the Securities Act, the registration fee has been calculated based upon the average of the high and low prices, as reported by The Nasdaq Capital Market, for shares of the Registrant's common stock on 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714565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620" w:type="dxa"/>
            <w:vAlign w:val="bottom"/>
            <w:tcBorders>
              <w:righ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14"/>
                <w:szCs w:val="14"/>
                <w:color w:val="auto"/>
              </w:rPr>
            </w:pPr>
          </w:p>
        </w:tc>
        <w:tc>
          <w:tcPr>
            <w:tcW w:w="680" w:type="dxa"/>
            <w:vAlign w:val="bottom"/>
            <w:tcBorders>
              <w:righ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4"/>
                <w:szCs w:val="14"/>
                <w:color w:val="auto"/>
              </w:rPr>
            </w:pPr>
          </w:p>
        </w:tc>
        <w:tc>
          <w:tcPr>
            <w:tcW w:w="940" w:type="dxa"/>
            <w:vAlign w:val="bottom"/>
            <w:tcBorders>
              <w:right w:val="single" w:sz="8" w:color="9ADAF6"/>
            </w:tcBorders>
            <w:gridSpan w:val="2"/>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14"/>
                <w:szCs w:val="14"/>
                <w:color w:val="auto"/>
              </w:rPr>
            </w:pPr>
          </w:p>
        </w:tc>
        <w:tc>
          <w:tcPr>
            <w:tcW w:w="940" w:type="dxa"/>
            <w:vAlign w:val="bottom"/>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jc w:val="center"/>
              <w:ind w:right="274"/>
              <w:spacing w:after="0" w:line="193"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2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40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8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9ADAF6"/>
            </w:tcBorders>
            <w:gridSpan w:val="2"/>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3"/>
          </w:tcPr>
          <w:p>
            <w:pPr>
              <w:jc w:val="center"/>
              <w:ind w:right="174"/>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116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80" w:type="dxa"/>
            <w:vAlign w:val="bottom"/>
            <w:tcBorders>
              <w:right w:val="single" w:sz="8" w:color="9ADAF6"/>
            </w:tcBorders>
            <w:shd w:val="clear" w:color="auto" w:fill="9ADAF6"/>
          </w:tcPr>
          <w:p>
            <w:pPr>
              <w:spacing w:after="0"/>
              <w:rPr>
                <w:sz w:val="17"/>
                <w:szCs w:val="17"/>
                <w:color w:val="auto"/>
              </w:rPr>
            </w:pPr>
          </w:p>
        </w:tc>
        <w:tc>
          <w:tcPr>
            <w:tcW w:w="1840" w:type="dxa"/>
            <w:vAlign w:val="bottom"/>
            <w:gridSpan w:val="4"/>
            <w:shd w:val="clear" w:color="auto" w:fill="9ADAF6"/>
          </w:tcPr>
          <w:p>
            <w:pPr>
              <w:jc w:val="center"/>
              <w:ind w:right="74"/>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114"/>
              <w:spacing w:after="0" w:line="193" w:lineRule="exact"/>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20"/>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3"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80" w:type="dxa"/>
            <w:vAlign w:val="bottom"/>
            <w:gridSpan w:val="5"/>
            <w:vMerge w:val="restart"/>
            <w:shd w:val="clear" w:color="auto" w:fill="9ADAF6"/>
          </w:tcPr>
          <w:p>
            <w:pPr>
              <w:ind w:left="620"/>
              <w:spacing w:after="0" w:line="193"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3"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3"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restart"/>
            <w:shd w:val="clear" w:color="auto" w:fill="9ADAF6"/>
          </w:tcPr>
          <w:p>
            <w:pPr>
              <w:jc w:val="center"/>
              <w:ind w:right="54"/>
              <w:spacing w:after="0" w:line="193" w:lineRule="exact"/>
              <w:rPr>
                <w:sz w:val="20"/>
                <w:szCs w:val="20"/>
                <w:color w:val="auto"/>
              </w:rPr>
            </w:pPr>
            <w:r>
              <w:rPr>
                <w:rFonts w:ascii="Arial" w:cs="Arial" w:eastAsia="Arial" w:hAnsi="Arial"/>
                <w:sz w:val="17"/>
                <w:szCs w:val="17"/>
                <w:b w:val="1"/>
                <w:bCs w:val="1"/>
                <w:color w:val="auto"/>
                <w:w w:val="98"/>
              </w:rPr>
              <w:t>Securities Previously</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right w:val="single" w:sz="8" w:color="9ADAF6"/>
            </w:tcBorders>
            <w:shd w:val="clear" w:color="auto" w:fill="9ADAF6"/>
          </w:tcPr>
          <w:p>
            <w:pPr>
              <w:spacing w:after="0"/>
              <w:rPr>
                <w:sz w:val="12"/>
                <w:szCs w:val="12"/>
                <w:color w:val="auto"/>
              </w:rPr>
            </w:pPr>
          </w:p>
        </w:tc>
        <w:tc>
          <w:tcPr>
            <w:tcW w:w="116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8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center"/>
              <w:ind w:right="94"/>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00" w:type="dxa"/>
            <w:vAlign w:val="bottom"/>
            <w:tcBorders>
              <w:right w:val="single" w:sz="8" w:color="auto"/>
            </w:tcBorders>
            <w:gridSpan w:val="2"/>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right w:val="single" w:sz="8" w:color="9ADAF6"/>
            </w:tcBorders>
            <w:shd w:val="clear" w:color="auto" w:fill="9ADAF6"/>
          </w:tcPr>
          <w:p>
            <w:pPr>
              <w:spacing w:after="0"/>
              <w:rPr>
                <w:sz w:val="7"/>
                <w:szCs w:val="7"/>
                <w:color w:val="auto"/>
              </w:rPr>
            </w:pPr>
          </w:p>
        </w:tc>
        <w:tc>
          <w:tcPr>
            <w:tcW w:w="116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60" w:type="dxa"/>
            <w:vAlign w:val="bottom"/>
            <w:tcBorders>
              <w:bottom w:val="single" w:sz="8" w:color="E7E7E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40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4"/>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650"/>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436C6125"/>
    <w:multiLevelType w:val="hybridMultilevel"/>
    <w:lvl w:ilvl="0">
      <w:lvlJc w:val="left"/>
      <w:lvlText w:val="(%1)"/>
      <w:numFmt w:val="decimal"/>
      <w:start w:val="2"/>
    </w:lvl>
    <w:lvl w:ilvl="1">
      <w:lvlJc w:val="left"/>
      <w:lvlText w:val="(%2)"/>
      <w:numFmt w:val="lowerRoman"/>
      <w:start w:val="1"/>
    </w:lvl>
  </w:abstractNum>
  <w:abstractNum w:abstractNumId="18">
    <w:nsid w:val="628C895D"/>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9">
    <w:nsid w:val="333AB10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0">
    <w:nsid w:val="721DA317"/>
    <w:multiLevelType w:val="hybridMultilevel"/>
    <w:lvl w:ilvl="0">
      <w:lvlJc w:val="left"/>
      <w:lvlText w:val="%1:"/>
      <w:numFmt w:val="upperLetter"/>
      <w:start w:val="20"/>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jpeg"/><Relationship Id="rId64" Type="http://schemas.openxmlformats.org/officeDocument/2006/relationships/image" Target="media/image42.png"/><Relationship Id="rId65" Type="http://schemas.openxmlformats.org/officeDocument/2006/relationships/image" Target="media/image43.jpeg"/><Relationship Id="rId66" Type="http://schemas.openxmlformats.org/officeDocument/2006/relationships/image" Target="media/image44.png"/><Relationship Id="rId67" Type="http://schemas.openxmlformats.org/officeDocument/2006/relationships/image" Target="media/image45.png"/><Relationship Id="rId41" Type="http://schemas.openxmlformats.org/officeDocument/2006/relationships/hyperlink" Target="http://www.sec.gov/ix?doc=/Archives/edgar/data/1427925/000143774926009387/acrx20251231_10k.htm" TargetMode="External"/><Relationship Id="rId42" Type="http://schemas.openxmlformats.org/officeDocument/2006/relationships/hyperlink" Target="http://www.sec.gov/Archives/edgar/data/1427925/000143774926008217/acrx20260313_8k.htm" TargetMode="External"/><Relationship Id="rId43" Type="http://schemas.openxmlformats.org/officeDocument/2006/relationships/hyperlink" Target="http://www.sec.gov/Archives/edgar/data/1427925/000143774926008318/acrx20260316_8k.htm" TargetMode="External"/><Relationship Id="rId44" Type="http://schemas.openxmlformats.org/officeDocument/2006/relationships/hyperlink" Target="http://www.sec.gov/Archives/edgar/data/1427925/000119312511020168/d8a12b.htm" TargetMode="External"/><Relationship Id="rId45" Type="http://schemas.openxmlformats.org/officeDocument/2006/relationships/hyperlink" Target="http://www.sec.gov/Archives/edgar/data/1427925/000143774921006074/ex_232263.htm" TargetMode="External"/><Relationship Id="rId48" Type="http://schemas.openxmlformats.org/officeDocument/2006/relationships/hyperlink" Target="http://www.sec.gov/Archives/edgar/data/1427925/000119312511040233/dex31.htm" TargetMode="External"/><Relationship Id="rId49" Type="http://schemas.openxmlformats.org/officeDocument/2006/relationships/hyperlink" Target="http://www.sec.gov/Archives/edgar/data/1427925/000143774919012706/ex_148566.htm" TargetMode="External"/><Relationship Id="rId50" Type="http://schemas.openxmlformats.org/officeDocument/2006/relationships/hyperlink" Target="http://www.sec.gov/Archives/edgar/data/1427925/000143774922024708/ex_436724.htm" TargetMode="External"/><Relationship Id="rId51" Type="http://schemas.openxmlformats.org/officeDocument/2006/relationships/hyperlink" Target="http://www.sec.gov/Archives/edgar/data/1427925/000143774922024708/ex_436733.htm" TargetMode="External"/><Relationship Id="rId52" Type="http://schemas.openxmlformats.org/officeDocument/2006/relationships/hyperlink" Target="http://www.sec.gov/Archives/edgar/data/1427925/000143774924000938/ex_613231.htm" TargetMode="External"/><Relationship Id="rId53" Type="http://schemas.openxmlformats.org/officeDocument/2006/relationships/hyperlink" Target="http://www.sec.gov/Archives/edgar/data/1427925/000143774924000938/ex_613232.htm" TargetMode="External"/><Relationship Id="rId54" Type="http://schemas.openxmlformats.org/officeDocument/2006/relationships/hyperlink" Target="http://www.sec.gov/Archives/edgar/data/1427925/000119312511019097/dex42.htm" TargetMode="External"/><Relationship Id="rId55" Type="http://schemas.openxmlformats.org/officeDocument/2006/relationships/hyperlink" Target="http://www.sec.gov/Archives/edgar/data/1427925/000143774925010729/ex_797888.htm" TargetMode="External"/><Relationship Id="rId56" Type="http://schemas.openxmlformats.org/officeDocument/2006/relationships/hyperlink" Target="http://www.sec.gov/Archives/edgar/data/1427925/000143774925010729/ex_797889.htm" TargetMode="External"/><Relationship Id="rId57" Type="http://schemas.openxmlformats.org/officeDocument/2006/relationships/hyperlink" Target="http://www.sec.gov/Archives/edgar/data/1427925/000143774925010729/ex_7978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2026-03-25T05:09:01Z</dcterms:created>
  <dcterms:modified xsi:type="dcterms:W3CDTF">2026-03-25T05:09:01Z</dcterms:modified>
</cp:coreProperties>
</file>