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b/>
          <w:caps w:val="false"/>
          <w:smallCaps w:val="false"/>
          <w:sz w:val="24"/>
        </w:rPr>
      </w:pPr>
      <w:bookmarkStart w:id="0" w:name="acrx20251023_8k.htm"/>
      <w:bookmarkStart w:id="1" w:name="ksacrx20251023_8k"/>
      <w:bookmarkEnd w:id="0"/>
      <w:bookmarkEnd w:id="1"/>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 October 23,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TALPHERA,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28" w:type="dxa"/>
          <w:right w:w="0" w:type="dxa"/>
        </w:tblCellMar>
      </w:tblPr>
      <w:tblGrid>
        <w:gridCol w:w="1910"/>
        <w:gridCol w:w="60"/>
        <w:gridCol w:w="1850"/>
        <w:gridCol w:w="60"/>
        <w:gridCol w:w="2765"/>
      </w:tblGrid>
      <w:tr>
        <w:trPr/>
        <w:tc>
          <w:tcPr>
            <w:tcW w:w="19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sz w:val="20"/>
              </w:rPr>
            </w:pPr>
            <w:r>
              <w:rPr>
                <w:rFonts w:ascii="Times New Roman" w:hAnsi="Times New Roman"/>
                <w:b/>
                <w:caps/>
                <w:sz w:val="20"/>
              </w:rPr>
              <w:t>Delaware</w:t>
            </w:r>
          </w:p>
        </w:tc>
        <w:tc>
          <w:tcPr>
            <w:tcW w:w="60" w:type="dxa"/>
            <w:tcBorders/>
            <w:tcMar>
              <w:bottom w:w="0" w:type="dxa"/>
            </w:tcMar>
            <w:vAlign w:val="center"/>
          </w:tcPr>
          <w:p>
            <w:pPr>
              <w:pStyle w:val="TableContents"/>
              <w:bidi w:val="0"/>
              <w:spacing w:before="0" w:after="283"/>
              <w:jc w:val="left"/>
              <w:rPr/>
            </w:pPr>
            <w:r>
              <w:rPr/>
              <w:t> </w:t>
            </w:r>
          </w:p>
        </w:tc>
        <w:tc>
          <w:tcPr>
            <w:tcW w:w="18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001-35068</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41-2193603</w:t>
            </w:r>
          </w:p>
        </w:tc>
      </w:tr>
      <w:tr>
        <w:trPr/>
        <w:tc>
          <w:tcPr>
            <w:tcW w:w="19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of incorporation)</w:t>
            </w:r>
          </w:p>
        </w:tc>
        <w:tc>
          <w:tcPr>
            <w:tcW w:w="60" w:type="dxa"/>
            <w:tcBorders/>
            <w:tcMar>
              <w:bottom w:w="0" w:type="dxa"/>
            </w:tcMar>
            <w:vAlign w:val="center"/>
          </w:tcPr>
          <w:p>
            <w:pPr>
              <w:pStyle w:val="TableContents"/>
              <w:bidi w:val="0"/>
              <w:spacing w:before="0" w:after="283"/>
              <w:jc w:val="left"/>
              <w:rPr/>
            </w:pPr>
            <w:r>
              <w:rPr/>
              <w:t> </w:t>
            </w:r>
          </w:p>
        </w:tc>
        <w:tc>
          <w:tcPr>
            <w:tcW w:w="18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No.)</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1850 Gateway Drive, Suite 175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San Mateo, CA 94404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 xml:space="preserve">(650) 216-3500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40" w:type="dxa"/>
        <w:jc w:val="left"/>
        <w:tblInd w:w="-7" w:type="dxa"/>
        <w:tblLayout w:type="fixed"/>
        <w:tblCellMar>
          <w:top w:w="28" w:type="dxa"/>
          <w:left w:w="28" w:type="dxa"/>
          <w:bottom w:w="28" w:type="dxa"/>
          <w:right w:w="28" w:type="dxa"/>
        </w:tblCellMar>
      </w:tblPr>
      <w:tblGrid>
        <w:gridCol w:w="2735"/>
        <w:gridCol w:w="1610"/>
        <w:gridCol w:w="3695"/>
      </w:tblGrid>
      <w:tr>
        <w:trPr/>
        <w:tc>
          <w:tcPr>
            <w:tcW w:w="27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36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73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$0.001 par value</w:t>
            </w:r>
          </w:p>
        </w:tc>
        <w:tc>
          <w:tcPr>
            <w:tcW w:w="161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TLPH</w:t>
            </w:r>
          </w:p>
        </w:tc>
        <w:tc>
          <w:tcPr>
            <w:tcW w:w="36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5.02</w:t>
      </w:r>
      <w:r>
        <w:rPr>
          <w:rFonts w:ascii="Times New Roman" w:hAnsi="Times New Roman"/>
          <w:caps w:val="false"/>
          <w:smallCaps w:val="false"/>
          <w:sz w:val="20"/>
        </w:rPr>
        <w:t>         </w:t>
      </w:r>
      <w:r>
        <w:rPr>
          <w:rFonts w:ascii="Times New Roman" w:hAnsi="Times New Roman"/>
          <w:b/>
          <w:caps w:val="false"/>
          <w:smallCaps w:val="false"/>
          <w:sz w:val="20"/>
        </w:rPr>
        <w:t>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described under Item 5.07 of this Current Report on Form 8-K, on October 23, 2025, at the 2025 Annual Meeting of Stockholders (the “Annual Meeting”) of Talphera, Inc. (the “Company”), the Company’s stockholders, upon the recommendation of the Company’s Board of Directors (the “Board”), approved an amendment and restatement of the Company’s Amended and Restated 2020 Equity Incentive Plan (the “2020 EIP”), and an amendment and restatement of the Company’s Amended and Restated the Company’s 2011 Employee Stock Purchase Plan (the “2011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summary of both the 2020 EIP and 2011 ESPP is set forth in the Company’s definitive proxy statement on Schedule 14A filed on September 9, 2025 for the Annual Meeting. That summary is qualified in its entirety by reference to the terms of the 2020 EIP and 2011 ESPP, copies of which are filed as Exhibits 10.1 and 10.2, respectively, to this Current Report on Form 8-K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5.07</w:t>
      </w:r>
      <w:r>
        <w:rPr>
          <w:rFonts w:ascii="Times New Roman" w:hAnsi="Times New Roman"/>
          <w:caps w:val="false"/>
          <w:smallCaps w:val="false"/>
          <w:sz w:val="20"/>
        </w:rPr>
        <w:t>         </w:t>
      </w:r>
      <w:r>
        <w:rPr>
          <w:rFonts w:ascii="Times New Roman" w:hAnsi="Times New Roman"/>
          <w:b/>
          <w:caps w:val="false"/>
          <w:smallCaps w:val="false"/>
          <w:sz w:val="20"/>
        </w:rPr>
        <w:t xml:space="preserve">Submission of Matters to a Vote of Security 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Annual Meeting of the Company was held on October 23, 2025. Proxies for the Annual Meeting were solicited by the Board pursuant to Section 14(a) of the Securities Exchange Act of 1934, as amended, and there was no solicitation in opposition. At the Annual Meeting, a total of 9,778,006 shares were represented in person or by proxy out of the 20,522,655 shares of common stock entitled to vote as of August 29, 2025, the record date for the Annual Meeting. The final votes on the proposals presented at the Annual Meeting were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Proposal No.</w:t>
      </w:r>
      <w:r>
        <w:rPr>
          <w:rFonts w:ascii="Times New Roman" w:hAnsi="Times New Roman"/>
          <w:caps w:val="false"/>
          <w:smallCaps w:val="false"/>
          <w:sz w:val="20"/>
        </w:rPr>
        <w:t> </w:t>
      </w:r>
      <w:r>
        <w:rPr>
          <w:rFonts w:ascii="Times New Roman" w:hAnsi="Times New Roman"/>
          <w:i/>
          <w:caps w:val="false"/>
          <w:smallCaps w:val="false"/>
          <w:sz w:val="20"/>
        </w:rPr>
        <w:t xml:space="preserve">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Vincent J. Angotti, Stephen J. Hoffman, M.D., Ph.D. and Abhinav Jain were elected as Class II directors, by a plurality of the votes entitled to vote on the election of directors, to hold office until the 2028 Annual Meeting of Stockholders by the following vote:</w:t>
      </w:r>
    </w:p>
    <w:p>
      <w:pPr>
        <w:pStyle w:val="TextBody"/>
        <w:bidi w:val="0"/>
        <w:spacing w:before="0" w:after="0"/>
        <w:ind w:left="0" w:right="0" w:hanging="0"/>
        <w:jc w:val="left"/>
        <w:rPr>
          <w:caps w:val="false"/>
          <w:smallCaps w:val="false"/>
        </w:rPr>
      </w:pPr>
      <w:r>
        <w:rPr>
          <w:caps w:val="false"/>
          <w:smallCaps w:val="false"/>
        </w:rPr>
        <w:t> </w:t>
      </w:r>
    </w:p>
    <w:tbl>
      <w:tblPr>
        <w:tblW w:w="6020" w:type="dxa"/>
        <w:jc w:val="left"/>
        <w:tblInd w:w="0" w:type="dxa"/>
        <w:tblLayout w:type="fixed"/>
        <w:tblCellMar>
          <w:top w:w="0" w:type="dxa"/>
          <w:left w:w="0" w:type="dxa"/>
          <w:bottom w:w="28" w:type="dxa"/>
          <w:right w:w="0" w:type="dxa"/>
        </w:tblCellMar>
      </w:tblPr>
      <w:tblGrid>
        <w:gridCol w:w="2630"/>
        <w:gridCol w:w="60"/>
        <w:gridCol w:w="845"/>
        <w:gridCol w:w="60"/>
        <w:gridCol w:w="800"/>
        <w:gridCol w:w="60"/>
        <w:gridCol w:w="1565"/>
      </w:tblGrid>
      <w:tr>
        <w:trPr/>
        <w:tc>
          <w:tcPr>
            <w:tcW w:w="263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Nominee</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Withheld</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Broker Non-Votes</w:t>
            </w:r>
          </w:p>
        </w:tc>
      </w:tr>
      <w:tr>
        <w:trPr/>
        <w:tc>
          <w:tcPr>
            <w:tcW w:w="26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Vincent J. Angotti</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4,463,317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862,417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4,452,272</w:t>
            </w:r>
          </w:p>
        </w:tc>
      </w:tr>
      <w:tr>
        <w:trPr/>
        <w:tc>
          <w:tcPr>
            <w:tcW w:w="26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Stephen J. Hoffman, M.D., Ph.D.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4,478,498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847,236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4,452,272</w:t>
            </w:r>
          </w:p>
        </w:tc>
      </w:tr>
      <w:tr>
        <w:trPr/>
        <w:tc>
          <w:tcPr>
            <w:tcW w:w="26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Abhinav Jain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4,477,107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848,627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4,452,272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In addition to the directors elected above, Marina Bozilenko, Joseph Todisco and Mark Wan will continue to serve as directors until the 2026 Annual Meeting of Stockholders, and Adrian Adams and Jill Broadfoot will continue to serve as directors until the 2027 Annual Meeting of Stockholders, and, in each case until their successors are elected and qualified, or until their earlier death,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Proposal No.</w:t>
      </w:r>
      <w:r>
        <w:rPr>
          <w:rFonts w:ascii="Times New Roman" w:hAnsi="Times New Roman"/>
          <w:caps w:val="false"/>
          <w:smallCaps w:val="false"/>
          <w:sz w:val="20"/>
        </w:rPr>
        <w:t> </w:t>
      </w:r>
      <w:r>
        <w:rPr>
          <w:rFonts w:ascii="Times New Roman" w:hAnsi="Times New Roman"/>
          <w:i/>
          <w:caps w:val="false"/>
          <w:smallCaps w:val="false"/>
          <w:sz w:val="20"/>
        </w:rPr>
        <w:t xml:space="preserve">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selection by the Audit Committee of the Board of BPM LLP as the Company’s independent registered public accounting firm for the year ending December 31, 2025 was ratified by the following vote:</w:t>
      </w:r>
    </w:p>
    <w:p>
      <w:pPr>
        <w:pStyle w:val="TextBody"/>
        <w:bidi w:val="0"/>
        <w:spacing w:before="0" w:after="0"/>
        <w:ind w:left="0" w:right="0" w:firstLine="500"/>
        <w:jc w:val="left"/>
        <w:rPr>
          <w:caps w:val="false"/>
          <w:smallCaps w:val="false"/>
        </w:rPr>
      </w:pPr>
      <w:r>
        <w:rPr>
          <w:caps w:val="false"/>
          <w:smallCaps w:val="false"/>
        </w:rPr>
        <w:t> </w:t>
      </w:r>
    </w:p>
    <w:tbl>
      <w:tblPr>
        <w:tblW w:w="3995" w:type="dxa"/>
        <w:jc w:val="left"/>
        <w:tblInd w:w="0" w:type="dxa"/>
        <w:tblLayout w:type="fixed"/>
        <w:tblCellMar>
          <w:top w:w="0" w:type="dxa"/>
          <w:left w:w="0" w:type="dxa"/>
          <w:bottom w:w="28" w:type="dxa"/>
          <w:right w:w="0" w:type="dxa"/>
        </w:tblCellMar>
      </w:tblPr>
      <w:tblGrid>
        <w:gridCol w:w="860"/>
        <w:gridCol w:w="60"/>
        <w:gridCol w:w="695"/>
        <w:gridCol w:w="60"/>
        <w:gridCol w:w="695"/>
        <w:gridCol w:w="60"/>
        <w:gridCol w:w="1565"/>
      </w:tblGrid>
      <w:tr>
        <w:trPr/>
        <w:tc>
          <w:tcPr>
            <w:tcW w:w="8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Against</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Abstain</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Broker Non-Votes</w:t>
            </w:r>
          </w:p>
        </w:tc>
      </w:tr>
      <w:tr>
        <w:trPr/>
        <w:tc>
          <w:tcPr>
            <w:tcW w:w="86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9,056,137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531,232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190,637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Proposal No.</w:t>
      </w:r>
      <w:r>
        <w:rPr>
          <w:rFonts w:ascii="Times New Roman" w:hAnsi="Times New Roman"/>
          <w:caps w:val="false"/>
          <w:smallCaps w:val="false"/>
          <w:sz w:val="20"/>
        </w:rPr>
        <w:t> </w:t>
      </w:r>
      <w:r>
        <w:rPr>
          <w:rFonts w:ascii="Times New Roman" w:hAnsi="Times New Roman"/>
          <w:i/>
          <w:caps w:val="false"/>
          <w:smallCaps w:val="false"/>
          <w:sz w:val="20"/>
        </w:rPr>
        <w:t xml:space="preserve">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compensation paid to the Company’s named executive officers, as disclosed pursuant to Item 402 of Regulation S-K, compensation tables and narrative discussion was approved, on an advisory basis, by the following vote:</w:t>
      </w:r>
    </w:p>
    <w:p>
      <w:pPr>
        <w:pStyle w:val="TextBody"/>
        <w:bidi w:val="0"/>
        <w:spacing w:before="0" w:after="0"/>
        <w:ind w:left="0" w:right="0" w:hanging="0"/>
        <w:jc w:val="left"/>
        <w:rPr>
          <w:caps w:val="false"/>
          <w:smallCaps w:val="false"/>
        </w:rPr>
      </w:pPr>
      <w:r>
        <w:rPr>
          <w:caps w:val="false"/>
          <w:smallCaps w:val="false"/>
        </w:rPr>
        <w:t> </w:t>
      </w:r>
    </w:p>
    <w:tbl>
      <w:tblPr>
        <w:tblW w:w="4115" w:type="dxa"/>
        <w:jc w:val="left"/>
        <w:tblInd w:w="0" w:type="dxa"/>
        <w:tblLayout w:type="fixed"/>
        <w:tblCellMar>
          <w:top w:w="0" w:type="dxa"/>
          <w:left w:w="0" w:type="dxa"/>
          <w:bottom w:w="28" w:type="dxa"/>
          <w:right w:w="0" w:type="dxa"/>
        </w:tblCellMar>
      </w:tblPr>
      <w:tblGrid>
        <w:gridCol w:w="860"/>
        <w:gridCol w:w="60"/>
        <w:gridCol w:w="845"/>
        <w:gridCol w:w="60"/>
        <w:gridCol w:w="665"/>
        <w:gridCol w:w="60"/>
        <w:gridCol w:w="1565"/>
      </w:tblGrid>
      <w:tr>
        <w:trPr/>
        <w:tc>
          <w:tcPr>
            <w:tcW w:w="8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Against</w:t>
            </w:r>
          </w:p>
        </w:tc>
        <w:tc>
          <w:tcPr>
            <w:tcW w:w="60" w:type="dxa"/>
            <w:tcBorders/>
            <w:tcMar>
              <w:bottom w:w="0" w:type="dxa"/>
            </w:tcMar>
            <w:vAlign w:val="center"/>
          </w:tcPr>
          <w:p>
            <w:pPr>
              <w:pStyle w:val="TableContents"/>
              <w:bidi w:val="0"/>
              <w:spacing w:before="0" w:after="283"/>
              <w:jc w:val="left"/>
              <w:rPr/>
            </w:pPr>
            <w:r>
              <w:rPr/>
              <w:t> </w:t>
            </w:r>
          </w:p>
        </w:tc>
        <w:tc>
          <w:tcPr>
            <w:tcW w:w="6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Abstain</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Broker Non-Votes</w:t>
            </w:r>
          </w:p>
        </w:tc>
      </w:tr>
      <w:tr>
        <w:trPr/>
        <w:tc>
          <w:tcPr>
            <w:tcW w:w="86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4,147,335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1,144,788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33,611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4,452,272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Proposal No.</w:t>
      </w:r>
      <w:r>
        <w:rPr>
          <w:rFonts w:ascii="Times New Roman" w:hAnsi="Times New Roman"/>
          <w:caps w:val="false"/>
          <w:smallCaps w:val="false"/>
          <w:sz w:val="20"/>
        </w:rPr>
        <w:t> </w:t>
      </w:r>
      <w:r>
        <w:rPr>
          <w:rFonts w:ascii="Times New Roman" w:hAnsi="Times New Roman"/>
          <w:i/>
          <w:caps w:val="false"/>
          <w:smallCaps w:val="false"/>
          <w:sz w:val="20"/>
        </w:rPr>
        <w:t xml:space="preserve">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preferred frequency of the advisory vote on the compensation of the Company’s named executed officers returned in favor of every year by the following vote:</w:t>
      </w:r>
    </w:p>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28" w:type="dxa"/>
          <w:right w:w="0" w:type="dxa"/>
        </w:tblCellMar>
      </w:tblPr>
      <w:tblGrid>
        <w:gridCol w:w="1205"/>
        <w:gridCol w:w="60"/>
        <w:gridCol w:w="1295"/>
        <w:gridCol w:w="60"/>
        <w:gridCol w:w="1430"/>
        <w:gridCol w:w="60"/>
        <w:gridCol w:w="695"/>
        <w:gridCol w:w="60"/>
        <w:gridCol w:w="1565"/>
      </w:tblGrid>
      <w:tr>
        <w:trPr/>
        <w:tc>
          <w:tcPr>
            <w:tcW w:w="12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One Year</w:t>
            </w:r>
          </w:p>
        </w:tc>
        <w:tc>
          <w:tcPr>
            <w:tcW w:w="60" w:type="dxa"/>
            <w:tcBorders/>
            <w:tcMar>
              <w:bottom w:w="0" w:type="dxa"/>
            </w:tcMar>
            <w:vAlign w:val="center"/>
          </w:tcPr>
          <w:p>
            <w:pPr>
              <w:pStyle w:val="TableContents"/>
              <w:bidi w:val="0"/>
              <w:spacing w:before="0" w:after="283"/>
              <w:jc w:val="left"/>
              <w:rPr/>
            </w:pPr>
            <w:r>
              <w:rPr/>
              <w:t> </w:t>
            </w:r>
          </w:p>
        </w:tc>
        <w:tc>
          <w:tcPr>
            <w:tcW w:w="12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Two Years</w:t>
            </w:r>
          </w:p>
        </w:tc>
        <w:tc>
          <w:tcPr>
            <w:tcW w:w="60" w:type="dxa"/>
            <w:tcBorders/>
            <w:tcMar>
              <w:bottom w:w="0" w:type="dxa"/>
            </w:tcMar>
            <w:vAlign w:val="center"/>
          </w:tcPr>
          <w:p>
            <w:pPr>
              <w:pStyle w:val="TableContents"/>
              <w:bidi w:val="0"/>
              <w:spacing w:before="0" w:after="283"/>
              <w:jc w:val="left"/>
              <w:rPr/>
            </w:pPr>
            <w:r>
              <w:rPr/>
              <w:t> </w:t>
            </w:r>
          </w:p>
        </w:tc>
        <w:tc>
          <w:tcPr>
            <w:tcW w:w="143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Three Years</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Abstain</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Broker Non-Votes</w:t>
            </w:r>
          </w:p>
        </w:tc>
      </w:tr>
      <w:tr>
        <w:trPr/>
        <w:tc>
          <w:tcPr>
            <w:tcW w:w="12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4,687,816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201,464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297,972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138,482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4,452,272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light of this vote and the Board’s prior recommendation, the Board has determined that the Company will hold an annual non-binding advisory vote on executive compensation. Accordingly, the Company will request an advisory vote on executive compensation every year in its future proxy materials until the next stockholder vote on the frequency of such votes.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Proposal No. 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Company’s 2020 EIP was approved, by the following vote:</w:t>
      </w:r>
    </w:p>
    <w:p>
      <w:pPr>
        <w:pStyle w:val="TextBody"/>
        <w:bidi w:val="0"/>
        <w:spacing w:before="0" w:after="0"/>
        <w:ind w:left="0" w:right="0" w:hanging="0"/>
        <w:jc w:val="left"/>
        <w:rPr>
          <w:caps w:val="false"/>
          <w:smallCaps w:val="false"/>
        </w:rPr>
      </w:pPr>
      <w:r>
        <w:rPr>
          <w:caps w:val="false"/>
          <w:smallCaps w:val="false"/>
        </w:rPr>
        <w:t> </w:t>
      </w:r>
    </w:p>
    <w:tbl>
      <w:tblPr>
        <w:tblW w:w="3965" w:type="dxa"/>
        <w:jc w:val="left"/>
        <w:tblInd w:w="0" w:type="dxa"/>
        <w:tblLayout w:type="fixed"/>
        <w:tblCellMar>
          <w:top w:w="0" w:type="dxa"/>
          <w:left w:w="0" w:type="dxa"/>
          <w:bottom w:w="28" w:type="dxa"/>
          <w:right w:w="0" w:type="dxa"/>
        </w:tblCellMar>
      </w:tblPr>
      <w:tblGrid>
        <w:gridCol w:w="860"/>
        <w:gridCol w:w="60"/>
        <w:gridCol w:w="695"/>
        <w:gridCol w:w="60"/>
        <w:gridCol w:w="665"/>
        <w:gridCol w:w="60"/>
        <w:gridCol w:w="1565"/>
      </w:tblGrid>
      <w:tr>
        <w:trPr/>
        <w:tc>
          <w:tcPr>
            <w:tcW w:w="8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Against</w:t>
            </w:r>
          </w:p>
        </w:tc>
        <w:tc>
          <w:tcPr>
            <w:tcW w:w="60" w:type="dxa"/>
            <w:tcBorders/>
            <w:tcMar>
              <w:bottom w:w="0" w:type="dxa"/>
            </w:tcMar>
            <w:vAlign w:val="center"/>
          </w:tcPr>
          <w:p>
            <w:pPr>
              <w:pStyle w:val="TableContents"/>
              <w:bidi w:val="0"/>
              <w:spacing w:before="0" w:after="283"/>
              <w:jc w:val="left"/>
              <w:rPr/>
            </w:pPr>
            <w:r>
              <w:rPr/>
              <w:t> </w:t>
            </w:r>
          </w:p>
        </w:tc>
        <w:tc>
          <w:tcPr>
            <w:tcW w:w="6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Abstain</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Broker Non-Votes</w:t>
            </w:r>
          </w:p>
        </w:tc>
      </w:tr>
      <w:tr>
        <w:trPr/>
        <w:tc>
          <w:tcPr>
            <w:tcW w:w="86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4,295,629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938,223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91,882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4,452,272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Proposal No.</w:t>
      </w:r>
      <w:r>
        <w:rPr>
          <w:rFonts w:ascii="Times New Roman" w:hAnsi="Times New Roman"/>
          <w:caps w:val="false"/>
          <w:smallCaps w:val="false"/>
          <w:sz w:val="20"/>
        </w:rPr>
        <w:t> </w:t>
      </w:r>
      <w:r>
        <w:rPr>
          <w:rFonts w:ascii="Times New Roman" w:hAnsi="Times New Roman"/>
          <w:i/>
          <w:caps w:val="false"/>
          <w:smallCaps w:val="false"/>
          <w:sz w:val="20"/>
        </w:rPr>
        <w:t xml:space="preserve">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Company’s 2011 ESPP was approved, by the following vote:</w:t>
      </w:r>
    </w:p>
    <w:p>
      <w:pPr>
        <w:pStyle w:val="TextBody"/>
        <w:bidi w:val="0"/>
        <w:spacing w:before="0" w:after="0"/>
        <w:ind w:left="0" w:right="0" w:hanging="0"/>
        <w:jc w:val="left"/>
        <w:rPr>
          <w:caps w:val="false"/>
          <w:smallCaps w:val="false"/>
        </w:rPr>
      </w:pPr>
      <w:r>
        <w:rPr>
          <w:caps w:val="false"/>
          <w:smallCaps w:val="false"/>
        </w:rPr>
        <w:t> </w:t>
      </w:r>
    </w:p>
    <w:tbl>
      <w:tblPr>
        <w:tblW w:w="3965" w:type="dxa"/>
        <w:jc w:val="left"/>
        <w:tblInd w:w="0" w:type="dxa"/>
        <w:tblLayout w:type="fixed"/>
        <w:tblCellMar>
          <w:top w:w="0" w:type="dxa"/>
          <w:left w:w="0" w:type="dxa"/>
          <w:bottom w:w="28" w:type="dxa"/>
          <w:right w:w="0" w:type="dxa"/>
        </w:tblCellMar>
      </w:tblPr>
      <w:tblGrid>
        <w:gridCol w:w="860"/>
        <w:gridCol w:w="60"/>
        <w:gridCol w:w="695"/>
        <w:gridCol w:w="60"/>
        <w:gridCol w:w="665"/>
        <w:gridCol w:w="60"/>
        <w:gridCol w:w="1565"/>
      </w:tblGrid>
      <w:tr>
        <w:trPr/>
        <w:tc>
          <w:tcPr>
            <w:tcW w:w="8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Against</w:t>
            </w:r>
          </w:p>
        </w:tc>
        <w:tc>
          <w:tcPr>
            <w:tcW w:w="60" w:type="dxa"/>
            <w:tcBorders/>
            <w:tcMar>
              <w:bottom w:w="0" w:type="dxa"/>
            </w:tcMar>
            <w:vAlign w:val="center"/>
          </w:tcPr>
          <w:p>
            <w:pPr>
              <w:pStyle w:val="TableContents"/>
              <w:bidi w:val="0"/>
              <w:spacing w:before="0" w:after="283"/>
              <w:jc w:val="left"/>
              <w:rPr/>
            </w:pPr>
            <w:r>
              <w:rPr/>
              <w:t> </w:t>
            </w:r>
          </w:p>
        </w:tc>
        <w:tc>
          <w:tcPr>
            <w:tcW w:w="6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Abstain</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Broker Non-Votes</w:t>
            </w:r>
          </w:p>
        </w:tc>
      </w:tr>
      <w:tr>
        <w:trPr/>
        <w:tc>
          <w:tcPr>
            <w:tcW w:w="86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4,521,469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751,916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52,349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4,452,272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Proposal No.</w:t>
      </w:r>
      <w:r>
        <w:rPr>
          <w:rFonts w:ascii="Times New Roman" w:hAnsi="Times New Roman"/>
          <w:caps w:val="false"/>
          <w:smallCaps w:val="false"/>
          <w:sz w:val="20"/>
        </w:rPr>
        <w:t> </w:t>
      </w:r>
      <w:r>
        <w:rPr>
          <w:rFonts w:ascii="Times New Roman" w:hAnsi="Times New Roman"/>
          <w:i/>
          <w:caps w:val="false"/>
          <w:smallCaps w:val="false"/>
          <w:sz w:val="20"/>
        </w:rPr>
        <w:t xml:space="preserve">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An amendment to the Company’s Amended and Restated Certificate of Incorporation to effect, at any time within 12 months following the date of Annual Meeting and solely if the Board determines such amendment is advisable to regain compliance with the minimum bid price requirements of the Nasdaq Capital Market, a reverse stock split at a ratio of not less than 1-for-10 and not greater than 1-for-30, with the exact ratio to be set within that range at the Board’s discretion without further stockholder approval was approved, by the following vote:</w:t>
      </w:r>
    </w:p>
    <w:p>
      <w:pPr>
        <w:pStyle w:val="TextBody"/>
        <w:bidi w:val="0"/>
        <w:spacing w:before="0" w:after="0"/>
        <w:ind w:left="0" w:right="0" w:hanging="0"/>
        <w:jc w:val="left"/>
        <w:rPr>
          <w:caps w:val="false"/>
          <w:smallCaps w:val="false"/>
        </w:rPr>
      </w:pPr>
      <w:r>
        <w:rPr>
          <w:caps w:val="false"/>
          <w:smallCaps w:val="false"/>
        </w:rPr>
        <w:t> </w:t>
      </w:r>
    </w:p>
    <w:tbl>
      <w:tblPr>
        <w:tblW w:w="4115" w:type="dxa"/>
        <w:jc w:val="left"/>
        <w:tblInd w:w="0" w:type="dxa"/>
        <w:tblLayout w:type="fixed"/>
        <w:tblCellMar>
          <w:top w:w="0" w:type="dxa"/>
          <w:left w:w="0" w:type="dxa"/>
          <w:bottom w:w="28" w:type="dxa"/>
          <w:right w:w="0" w:type="dxa"/>
        </w:tblCellMar>
      </w:tblPr>
      <w:tblGrid>
        <w:gridCol w:w="860"/>
        <w:gridCol w:w="60"/>
        <w:gridCol w:w="845"/>
        <w:gridCol w:w="60"/>
        <w:gridCol w:w="665"/>
        <w:gridCol w:w="60"/>
        <w:gridCol w:w="1565"/>
      </w:tblGrid>
      <w:tr>
        <w:trPr/>
        <w:tc>
          <w:tcPr>
            <w:tcW w:w="8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Against</w:t>
            </w:r>
          </w:p>
        </w:tc>
        <w:tc>
          <w:tcPr>
            <w:tcW w:w="60" w:type="dxa"/>
            <w:tcBorders/>
            <w:tcMar>
              <w:bottom w:w="0" w:type="dxa"/>
            </w:tcMar>
            <w:vAlign w:val="center"/>
          </w:tcPr>
          <w:p>
            <w:pPr>
              <w:pStyle w:val="TableContents"/>
              <w:bidi w:val="0"/>
              <w:spacing w:before="0" w:after="283"/>
              <w:jc w:val="left"/>
              <w:rPr/>
            </w:pPr>
            <w:r>
              <w:rPr/>
              <w:t> </w:t>
            </w:r>
          </w:p>
        </w:tc>
        <w:tc>
          <w:tcPr>
            <w:tcW w:w="6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Abstain</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Broker Non-Votes</w:t>
            </w:r>
          </w:p>
        </w:tc>
      </w:tr>
      <w:tr>
        <w:trPr/>
        <w:tc>
          <w:tcPr>
            <w:tcW w:w="86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7,875,516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1,854,692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47,798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As previously disclosed, on October 20, 2025, the Company was notified that it had regained compliance with such minimum bid price requirements, as the closing bid price of Talphera’s common stock had been at least $1.00 per share for a minimum of 10 consecutive trading days ending October 17,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9.01</w:t>
      </w:r>
      <w:r>
        <w:rPr>
          <w:rFonts w:ascii="Times New Roman" w:hAnsi="Times New Roman"/>
          <w:caps w:val="false"/>
          <w:smallCaps w:val="false"/>
          <w:sz w:val="20"/>
        </w:rPr>
        <w:t>         </w:t>
      </w:r>
      <w:r>
        <w:rPr>
          <w:rFonts w:ascii="Times New Roman" w:hAnsi="Times New Roman"/>
          <w:b/>
          <w:caps w:val="false"/>
          <w:smallCaps w:val="false"/>
          <w:sz w:val="20"/>
        </w:rPr>
        <w:t xml:space="preserve">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995"/>
        <w:gridCol w:w="60"/>
        <w:gridCol w:w="6485"/>
      </w:tblGrid>
      <w:tr>
        <w:trPr/>
        <w:tc>
          <w:tcPr>
            <w:tcW w:w="99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Exhibit No.</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ex_875418.htm">
              <w:r>
                <w:rPr>
                  <w:rStyle w:val="InternetLink"/>
                  <w:rFonts w:ascii="Times New Roman;Times;serif" w:hAnsi="Times New Roman;Times;serif"/>
                  <w:sz w:val="20"/>
                </w:rPr>
                <w:t>Amended and Restated 2020 Equity Incentive Plan</w:t>
              </w:r>
            </w:hyperlink>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ex_875419.htm">
              <w:r>
                <w:rPr>
                  <w:rStyle w:val="InternetLink"/>
                  <w:rFonts w:ascii="Times New Roman;Times;serif" w:hAnsi="Times New Roman;Times;serif"/>
                  <w:sz w:val="20"/>
                </w:rPr>
                <w:t>Amended and Restated 2011 Employee Stock Purchase Plan</w:t>
              </w:r>
            </w:hyperlink>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Indicates management contract or compensatory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200" w:type="dxa"/>
        <w:jc w:val="left"/>
        <w:tblInd w:w="0" w:type="dxa"/>
        <w:tblLayout w:type="fixed"/>
        <w:tblCellMar>
          <w:top w:w="0" w:type="dxa"/>
          <w:left w:w="0" w:type="dxa"/>
          <w:bottom w:w="0" w:type="dxa"/>
          <w:right w:w="0" w:type="dxa"/>
        </w:tblCellMar>
      </w:tblPr>
      <w:tblGrid>
        <w:gridCol w:w="1910"/>
        <w:gridCol w:w="410"/>
        <w:gridCol w:w="1880"/>
      </w:tblGrid>
      <w:tr>
        <w:trPr/>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24, 2025</w:t>
            </w:r>
          </w:p>
        </w:tc>
        <w:tc>
          <w:tcPr>
            <w:tcW w:w="229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TALPHERA, INC.</w:t>
            </w:r>
          </w:p>
          <w:p>
            <w:pPr>
              <w:pStyle w:val="TableContents"/>
              <w:bidi w:val="0"/>
              <w:spacing w:before="0" w:after="0"/>
              <w:ind w:left="0" w:right="0" w:hanging="0"/>
              <w:jc w:val="left"/>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Raffi Asadorian</w:t>
            </w:r>
          </w:p>
        </w:tc>
      </w:tr>
      <w:tr>
        <w:trPr/>
        <w:tc>
          <w:tcPr>
            <w:tcW w:w="191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Raffi Asadorian</w:t>
            </w:r>
          </w:p>
        </w:tc>
      </w:tr>
      <w:tr>
        <w:trPr/>
        <w:tc>
          <w:tcPr>
            <w:tcW w:w="191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875418.htm"/>
      <w:bookmarkStart w:id="3" w:name="ksex_875418"/>
      <w:bookmarkEnd w:id="2"/>
      <w:bookmarkEnd w:id="3"/>
      <w:r>
        <w:rPr>
          <w:rFonts w:ascii="Times New Roman;Times;serif" w:hAnsi="Times New Roman;Times;serif"/>
          <w:b/>
          <w:sz w:val="20"/>
        </w:rPr>
        <w:t>Exhibit 10.1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AMENDED AND RESTATED 2020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0" w:right="0" w:hanging="0"/>
        <w:jc w:val="center"/>
        <w:rPr>
          <w:rFonts w:ascii="Times New Roman" w:hAnsi="Times New Roman"/>
          <w:smallCaps/>
          <w:sz w:val="20"/>
        </w:rPr>
      </w:pPr>
      <w:r>
        <w:rPr>
          <w:rFonts w:ascii="Times New Roman" w:hAnsi="Times New Roman"/>
          <w:b/>
          <w:smallCaps/>
          <w:sz w:val="20"/>
        </w:rPr>
        <w:t>Originally Adopted by the Board of Directors:</w:t>
      </w:r>
      <w:r>
        <w:rPr>
          <w:rFonts w:ascii="Times New Roman" w:hAnsi="Times New Roman"/>
          <w:smallCaps/>
          <w:sz w:val="20"/>
        </w:rPr>
        <w:t xml:space="preserve">  </w:t>
      </w:r>
      <w:r>
        <w:rPr>
          <w:rFonts w:ascii="Times New Roman" w:hAnsi="Times New Roman"/>
          <w:b/>
          <w:smallCaps/>
          <w:sz w:val="20"/>
        </w:rPr>
        <w:t>April 16, 2020</w:t>
      </w:r>
    </w:p>
    <w:p>
      <w:pPr>
        <w:pStyle w:val="TextBody"/>
        <w:bidi w:val="0"/>
        <w:spacing w:before="0" w:after="0"/>
        <w:ind w:left="320" w:right="0" w:hanging="0"/>
        <w:jc w:val="center"/>
        <w:rPr>
          <w:rFonts w:ascii="Times New Roman" w:hAnsi="Times New Roman"/>
          <w:smallCaps/>
          <w:sz w:val="20"/>
        </w:rPr>
      </w:pPr>
      <w:r>
        <w:rPr>
          <w:rFonts w:ascii="Times New Roman" w:hAnsi="Times New Roman"/>
          <w:b/>
          <w:smallCaps/>
          <w:sz w:val="20"/>
        </w:rPr>
        <w:t>Originally Approved by the Stockholders:</w:t>
      </w:r>
      <w:r>
        <w:rPr>
          <w:rFonts w:ascii="Times New Roman" w:hAnsi="Times New Roman"/>
          <w:smallCaps/>
          <w:sz w:val="20"/>
        </w:rPr>
        <w:t xml:space="preserve">  </w:t>
      </w:r>
      <w:r>
        <w:rPr>
          <w:rFonts w:ascii="Times New Roman" w:hAnsi="Times New Roman"/>
          <w:b/>
          <w:smallCaps/>
          <w:sz w:val="20"/>
        </w:rPr>
        <w:t>June 16, 2020</w:t>
      </w:r>
    </w:p>
    <w:p>
      <w:pPr>
        <w:pStyle w:val="TextBody"/>
        <w:bidi w:val="0"/>
        <w:spacing w:before="0" w:after="0"/>
        <w:ind w:left="320" w:right="0" w:hanging="0"/>
        <w:jc w:val="center"/>
        <w:rPr>
          <w:rFonts w:ascii="Times New Roman" w:hAnsi="Times New Roman"/>
          <w:b/>
          <w:smallCaps/>
          <w:sz w:val="20"/>
        </w:rPr>
      </w:pPr>
      <w:r>
        <w:rPr>
          <w:rFonts w:ascii="Times New Roman" w:hAnsi="Times New Roman"/>
          <w:b/>
          <w:smallCaps/>
          <w:sz w:val="20"/>
        </w:rPr>
        <w:t>Amendment and Restatement Approved by the Board of Directors: April 20, 2021</w:t>
      </w:r>
    </w:p>
    <w:p>
      <w:pPr>
        <w:pStyle w:val="TextBody"/>
        <w:bidi w:val="0"/>
        <w:spacing w:before="0" w:after="0"/>
        <w:ind w:left="320" w:right="0" w:hanging="0"/>
        <w:jc w:val="center"/>
        <w:rPr>
          <w:rFonts w:ascii="Times New Roman" w:hAnsi="Times New Roman"/>
          <w:b/>
          <w:smallCaps/>
          <w:sz w:val="20"/>
        </w:rPr>
      </w:pPr>
      <w:r>
        <w:rPr>
          <w:rFonts w:ascii="Times New Roman" w:hAnsi="Times New Roman"/>
          <w:b/>
          <w:smallCaps/>
          <w:sz w:val="20"/>
        </w:rPr>
        <w:t>Amendment and Restatement Approved by the Stockholders: June 17, 2021</w:t>
      </w:r>
    </w:p>
    <w:p>
      <w:pPr>
        <w:pStyle w:val="TextBody"/>
        <w:bidi w:val="0"/>
        <w:spacing w:before="0" w:after="0"/>
        <w:ind w:left="320" w:right="0" w:hanging="0"/>
        <w:jc w:val="center"/>
        <w:rPr>
          <w:rFonts w:ascii="Times New Roman" w:hAnsi="Times New Roman"/>
          <w:b/>
          <w:smallCaps/>
          <w:sz w:val="20"/>
        </w:rPr>
      </w:pPr>
      <w:r>
        <w:rPr>
          <w:rFonts w:ascii="Times New Roman" w:hAnsi="Times New Roman"/>
          <w:b/>
          <w:smallCaps/>
          <w:sz w:val="20"/>
        </w:rPr>
        <w:t>Amendment and Restatement Approved by the Board of Directors: August 22, 2023</w:t>
      </w:r>
    </w:p>
    <w:p>
      <w:pPr>
        <w:pStyle w:val="TextBody"/>
        <w:bidi w:val="0"/>
        <w:spacing w:before="0" w:after="0"/>
        <w:ind w:left="320" w:right="0" w:hanging="0"/>
        <w:jc w:val="center"/>
        <w:rPr>
          <w:rFonts w:ascii="Times New Roman" w:hAnsi="Times New Roman"/>
          <w:b/>
          <w:smallCaps/>
          <w:sz w:val="20"/>
        </w:rPr>
      </w:pPr>
      <w:r>
        <w:rPr>
          <w:rFonts w:ascii="Times New Roman" w:hAnsi="Times New Roman"/>
          <w:b/>
          <w:smallCaps/>
          <w:sz w:val="20"/>
        </w:rPr>
        <w:t>Amendment and Restatement Approved by the Stockholders: October 10, 2023</w:t>
      </w:r>
    </w:p>
    <w:p>
      <w:pPr>
        <w:pStyle w:val="TextBody"/>
        <w:bidi w:val="0"/>
        <w:spacing w:before="0" w:after="0"/>
        <w:ind w:left="320" w:right="0" w:hanging="0"/>
        <w:jc w:val="center"/>
        <w:rPr>
          <w:rFonts w:ascii="Times New Roman" w:hAnsi="Times New Roman"/>
          <w:b/>
          <w:smallCaps/>
          <w:sz w:val="20"/>
        </w:rPr>
      </w:pPr>
      <w:r>
        <w:rPr>
          <w:rFonts w:ascii="Times New Roman" w:hAnsi="Times New Roman"/>
          <w:b/>
          <w:smallCaps/>
          <w:sz w:val="20"/>
        </w:rPr>
        <w:t>Amendment and Restatement Approved by the Board of Directors: April 19, 2024</w:t>
      </w:r>
    </w:p>
    <w:p>
      <w:pPr>
        <w:pStyle w:val="TextBody"/>
        <w:bidi w:val="0"/>
        <w:spacing w:before="0" w:after="0"/>
        <w:ind w:left="320" w:right="0" w:hanging="0"/>
        <w:jc w:val="center"/>
        <w:rPr>
          <w:rFonts w:ascii="Times New Roman" w:hAnsi="Times New Roman"/>
          <w:b/>
          <w:smallCaps/>
          <w:sz w:val="20"/>
        </w:rPr>
      </w:pPr>
      <w:r>
        <w:rPr>
          <w:rFonts w:ascii="Times New Roman" w:hAnsi="Times New Roman"/>
          <w:b/>
          <w:smallCaps/>
          <w:sz w:val="20"/>
        </w:rPr>
        <w:t>Amendment and Restatement Approved by the Stockholders: June 24, 2024</w:t>
      </w:r>
    </w:p>
    <w:p>
      <w:pPr>
        <w:pStyle w:val="TextBody"/>
        <w:bidi w:val="0"/>
        <w:spacing w:before="0" w:after="0"/>
        <w:ind w:left="320" w:right="0" w:hanging="0"/>
        <w:jc w:val="center"/>
        <w:rPr>
          <w:rFonts w:ascii="Times New Roman" w:hAnsi="Times New Roman"/>
          <w:b/>
          <w:smallCaps/>
          <w:sz w:val="20"/>
        </w:rPr>
      </w:pPr>
      <w:r>
        <w:rPr>
          <w:rFonts w:ascii="Times New Roman" w:hAnsi="Times New Roman"/>
          <w:b/>
          <w:smallCaps/>
          <w:sz w:val="20"/>
        </w:rPr>
        <w:t>Amendment and Restatement Approved by the Board of Directors: August 28, 2025</w:t>
      </w:r>
    </w:p>
    <w:p>
      <w:pPr>
        <w:pStyle w:val="TextBody"/>
        <w:bidi w:val="0"/>
        <w:spacing w:before="0" w:after="0"/>
        <w:ind w:left="320" w:right="0" w:hanging="0"/>
        <w:jc w:val="center"/>
        <w:rPr>
          <w:rFonts w:ascii="Times New Roman" w:hAnsi="Times New Roman"/>
          <w:smallCaps/>
          <w:sz w:val="20"/>
        </w:rPr>
      </w:pPr>
      <w:r>
        <w:rPr>
          <w:rFonts w:ascii="Times New Roman" w:hAnsi="Times New Roman"/>
          <w:b/>
          <w:smallCaps/>
          <w:sz w:val="20"/>
        </w:rPr>
        <w:t>Amendment and Restatement Approved by the Stockholders: October</w:t>
      </w:r>
      <w:r>
        <w:rPr>
          <w:rFonts w:ascii="Times New Roman" w:hAnsi="Times New Roman"/>
          <w:smallCaps/>
          <w:sz w:val="20"/>
        </w:rPr>
        <w:t> </w:t>
      </w:r>
      <w:r>
        <w:rPr>
          <w:rFonts w:ascii="Times New Roman" w:hAnsi="Times New Roman"/>
          <w:b/>
          <w:smallCaps/>
          <w:sz w:val="20"/>
        </w:rPr>
        <w:t>23, 2025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smallCaps/>
          <w:sz w:val="20"/>
        </w:rPr>
      </w:pPr>
      <w:r>
        <w:rPr>
          <w:rFonts w:ascii="Times New Roman" w:hAnsi="Times New Roman"/>
          <w:b/>
          <w:small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7755" w:type="dxa"/>
        <w:jc w:val="left"/>
        <w:tblInd w:w="0" w:type="dxa"/>
        <w:tblLayout w:type="fixed"/>
        <w:tblCellMar>
          <w:top w:w="0" w:type="dxa"/>
          <w:left w:w="0" w:type="dxa"/>
          <w:bottom w:w="0" w:type="dxa"/>
          <w:right w:w="0" w:type="dxa"/>
        </w:tblCellMar>
      </w:tblPr>
      <w:tblGrid>
        <w:gridCol w:w="275"/>
        <w:gridCol w:w="6980"/>
        <w:gridCol w:w="500"/>
      </w:tblGrid>
      <w:tr>
        <w:trPr/>
        <w:tc>
          <w:tcPr>
            <w:tcW w:w="275"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right"/>
              <w:rPr>
                <w:rFonts w:ascii="Times New Roman" w:hAnsi="Times New Roman"/>
                <w:b/>
                <w:smallCaps/>
                <w:sz w:val="20"/>
              </w:rPr>
            </w:pPr>
            <w:r>
              <w:rPr>
                <w:rFonts w:ascii="Times New Roman" w:hAnsi="Times New Roman"/>
                <w:b/>
                <w:smallCaps/>
                <w:sz w:val="20"/>
              </w:rPr>
              <w:t>Page</w:t>
            </w:r>
          </w:p>
        </w:tc>
      </w:tr>
      <w:tr>
        <w:trPr/>
        <w:tc>
          <w:tcPr>
            <w:tcW w:w="275"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w:t>
            </w:r>
          </w:p>
        </w:tc>
        <w:tc>
          <w:tcPr>
            <w:tcW w:w="6980"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General</w:t>
            </w:r>
          </w:p>
        </w:tc>
        <w:tc>
          <w:tcPr>
            <w:tcW w:w="500" w:type="dxa"/>
            <w:tcBorders/>
            <w:shd w:fill="CCEEFF" w:val="clear"/>
            <w:vAlign w:val="center"/>
          </w:tcPr>
          <w:p>
            <w:pPr>
              <w:pStyle w:val="TableContents"/>
              <w:bidi w:val="0"/>
              <w:spacing w:before="0" w:after="0"/>
              <w:ind w:left="0" w:right="0" w:hanging="0"/>
              <w:jc w:val="right"/>
              <w:rPr>
                <w:rFonts w:ascii="Times New Roman" w:hAnsi="Times New Roman"/>
                <w:smallCaps/>
                <w:sz w:val="20"/>
              </w:rPr>
            </w:pPr>
            <w:r>
              <w:rPr>
                <w:rFonts w:ascii="Times New Roman" w:hAnsi="Times New Roman"/>
                <w:smallCaps/>
                <w:sz w:val="20"/>
              </w:rPr>
              <w:t>1</w:t>
            </w:r>
          </w:p>
        </w:tc>
      </w:tr>
      <w:tr>
        <w:trPr/>
        <w:tc>
          <w:tcPr>
            <w:tcW w:w="275" w:type="dxa"/>
            <w:tcBorders/>
            <w:shd w:fill="FFFFFF" w:val="clear"/>
            <w:vAlign w:val="center"/>
          </w:tcPr>
          <w:p>
            <w:pPr>
              <w:pStyle w:val="TableContents"/>
              <w:bidi w:val="0"/>
              <w:spacing w:before="0" w:after="283"/>
              <w:jc w:val="left"/>
              <w:rPr/>
            </w:pPr>
            <w:r>
              <w:rPr/>
              <w:t> </w:t>
            </w:r>
          </w:p>
        </w:tc>
        <w:tc>
          <w:tcPr>
            <w:tcW w:w="69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2.</w:t>
            </w:r>
          </w:p>
        </w:tc>
        <w:tc>
          <w:tcPr>
            <w:tcW w:w="6980"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Shares Subject to the Plan</w:t>
            </w:r>
          </w:p>
        </w:tc>
        <w:tc>
          <w:tcPr>
            <w:tcW w:w="500" w:type="dxa"/>
            <w:tcBorders/>
            <w:shd w:fill="CCEEFF" w:val="clear"/>
            <w:vAlign w:val="center"/>
          </w:tcPr>
          <w:p>
            <w:pPr>
              <w:pStyle w:val="TableContents"/>
              <w:bidi w:val="0"/>
              <w:spacing w:before="0" w:after="0"/>
              <w:ind w:left="0" w:right="0" w:hanging="0"/>
              <w:jc w:val="right"/>
              <w:rPr>
                <w:rFonts w:ascii="Times New Roman" w:hAnsi="Times New Roman"/>
                <w:smallCaps/>
                <w:sz w:val="20"/>
              </w:rPr>
            </w:pPr>
            <w:r>
              <w:rPr>
                <w:rFonts w:ascii="Times New Roman" w:hAnsi="Times New Roman"/>
                <w:smallCaps/>
                <w:sz w:val="20"/>
              </w:rPr>
              <w:t>1</w:t>
            </w:r>
          </w:p>
        </w:tc>
      </w:tr>
      <w:tr>
        <w:trPr/>
        <w:tc>
          <w:tcPr>
            <w:tcW w:w="275" w:type="dxa"/>
            <w:tcBorders/>
            <w:shd w:fill="FFFFFF" w:val="clear"/>
            <w:vAlign w:val="center"/>
          </w:tcPr>
          <w:p>
            <w:pPr>
              <w:pStyle w:val="TableContents"/>
              <w:bidi w:val="0"/>
              <w:spacing w:before="0" w:after="283"/>
              <w:jc w:val="left"/>
              <w:rPr/>
            </w:pPr>
            <w:r>
              <w:rPr/>
              <w:t> </w:t>
            </w:r>
          </w:p>
        </w:tc>
        <w:tc>
          <w:tcPr>
            <w:tcW w:w="69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3.</w:t>
            </w:r>
          </w:p>
        </w:tc>
        <w:tc>
          <w:tcPr>
            <w:tcW w:w="6980"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Eligibility and Limitations</w:t>
            </w:r>
          </w:p>
        </w:tc>
        <w:tc>
          <w:tcPr>
            <w:tcW w:w="500" w:type="dxa"/>
            <w:tcBorders/>
            <w:shd w:fill="CCEEFF" w:val="clear"/>
            <w:vAlign w:val="center"/>
          </w:tcPr>
          <w:p>
            <w:pPr>
              <w:pStyle w:val="TableContents"/>
              <w:bidi w:val="0"/>
              <w:spacing w:before="0" w:after="0"/>
              <w:ind w:left="0" w:right="0" w:hanging="0"/>
              <w:jc w:val="right"/>
              <w:rPr>
                <w:rFonts w:ascii="Times New Roman" w:hAnsi="Times New Roman"/>
                <w:smallCaps/>
                <w:sz w:val="20"/>
              </w:rPr>
            </w:pPr>
            <w:r>
              <w:rPr>
                <w:rFonts w:ascii="Times New Roman" w:hAnsi="Times New Roman"/>
                <w:smallCaps/>
                <w:sz w:val="20"/>
              </w:rPr>
              <w:t>2</w:t>
            </w:r>
          </w:p>
        </w:tc>
      </w:tr>
      <w:tr>
        <w:trPr/>
        <w:tc>
          <w:tcPr>
            <w:tcW w:w="275" w:type="dxa"/>
            <w:tcBorders/>
            <w:shd w:fill="FFFFFF" w:val="clear"/>
            <w:vAlign w:val="center"/>
          </w:tcPr>
          <w:p>
            <w:pPr>
              <w:pStyle w:val="TableContents"/>
              <w:bidi w:val="0"/>
              <w:spacing w:before="0" w:after="283"/>
              <w:jc w:val="left"/>
              <w:rPr/>
            </w:pPr>
            <w:r>
              <w:rPr/>
              <w:t> </w:t>
            </w:r>
          </w:p>
        </w:tc>
        <w:tc>
          <w:tcPr>
            <w:tcW w:w="69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4.</w:t>
            </w:r>
          </w:p>
        </w:tc>
        <w:tc>
          <w:tcPr>
            <w:tcW w:w="6980"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Options And Stock Appreciation Rights</w:t>
            </w:r>
          </w:p>
        </w:tc>
        <w:tc>
          <w:tcPr>
            <w:tcW w:w="500" w:type="dxa"/>
            <w:tcBorders/>
            <w:shd w:fill="CCEEFF" w:val="clear"/>
            <w:vAlign w:val="center"/>
          </w:tcPr>
          <w:p>
            <w:pPr>
              <w:pStyle w:val="TableContents"/>
              <w:bidi w:val="0"/>
              <w:spacing w:before="0" w:after="0"/>
              <w:ind w:left="0" w:right="0" w:hanging="0"/>
              <w:jc w:val="right"/>
              <w:rPr>
                <w:rFonts w:ascii="Times New Roman" w:hAnsi="Times New Roman"/>
                <w:smallCaps/>
                <w:sz w:val="20"/>
              </w:rPr>
            </w:pPr>
            <w:r>
              <w:rPr>
                <w:rFonts w:ascii="Times New Roman" w:hAnsi="Times New Roman"/>
                <w:smallCaps/>
                <w:sz w:val="20"/>
              </w:rPr>
              <w:t>3</w:t>
            </w:r>
          </w:p>
        </w:tc>
      </w:tr>
      <w:tr>
        <w:trPr/>
        <w:tc>
          <w:tcPr>
            <w:tcW w:w="275" w:type="dxa"/>
            <w:tcBorders/>
            <w:shd w:fill="FFFFFF" w:val="clear"/>
            <w:vAlign w:val="center"/>
          </w:tcPr>
          <w:p>
            <w:pPr>
              <w:pStyle w:val="TableContents"/>
              <w:bidi w:val="0"/>
              <w:spacing w:before="0" w:after="283"/>
              <w:jc w:val="left"/>
              <w:rPr/>
            </w:pPr>
            <w:r>
              <w:rPr/>
              <w:t> </w:t>
            </w:r>
          </w:p>
        </w:tc>
        <w:tc>
          <w:tcPr>
            <w:tcW w:w="69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5.</w:t>
            </w:r>
          </w:p>
        </w:tc>
        <w:tc>
          <w:tcPr>
            <w:tcW w:w="6980"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Awards Other Than Options and Stock Appreciation Rights</w:t>
            </w:r>
          </w:p>
        </w:tc>
        <w:tc>
          <w:tcPr>
            <w:tcW w:w="500" w:type="dxa"/>
            <w:tcBorders/>
            <w:shd w:fill="CCEEFF" w:val="clear"/>
            <w:vAlign w:val="center"/>
          </w:tcPr>
          <w:p>
            <w:pPr>
              <w:pStyle w:val="TableContents"/>
              <w:bidi w:val="0"/>
              <w:spacing w:before="0" w:after="0"/>
              <w:ind w:left="0" w:right="0" w:hanging="0"/>
              <w:jc w:val="right"/>
              <w:rPr>
                <w:rFonts w:ascii="Times New Roman" w:hAnsi="Times New Roman"/>
                <w:smallCaps/>
                <w:sz w:val="20"/>
              </w:rPr>
            </w:pPr>
            <w:r>
              <w:rPr>
                <w:rFonts w:ascii="Times New Roman" w:hAnsi="Times New Roman"/>
                <w:smallCaps/>
                <w:sz w:val="20"/>
              </w:rPr>
              <w:t>7</w:t>
            </w:r>
          </w:p>
        </w:tc>
      </w:tr>
      <w:tr>
        <w:trPr/>
        <w:tc>
          <w:tcPr>
            <w:tcW w:w="275" w:type="dxa"/>
            <w:tcBorders/>
            <w:shd w:fill="FFFFFF" w:val="clear"/>
            <w:vAlign w:val="center"/>
          </w:tcPr>
          <w:p>
            <w:pPr>
              <w:pStyle w:val="TableContents"/>
              <w:bidi w:val="0"/>
              <w:spacing w:before="0" w:after="283"/>
              <w:jc w:val="left"/>
              <w:rPr/>
            </w:pPr>
            <w:r>
              <w:rPr/>
              <w:t> </w:t>
            </w:r>
          </w:p>
        </w:tc>
        <w:tc>
          <w:tcPr>
            <w:tcW w:w="69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6.</w:t>
            </w:r>
          </w:p>
        </w:tc>
        <w:tc>
          <w:tcPr>
            <w:tcW w:w="6980"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Adjustments Upon Changes in Common Stock; Other Corporate Events</w:t>
            </w:r>
          </w:p>
        </w:tc>
        <w:tc>
          <w:tcPr>
            <w:tcW w:w="500" w:type="dxa"/>
            <w:tcBorders/>
            <w:shd w:fill="CCEEFF" w:val="clear"/>
            <w:vAlign w:val="center"/>
          </w:tcPr>
          <w:p>
            <w:pPr>
              <w:pStyle w:val="TableContents"/>
              <w:bidi w:val="0"/>
              <w:spacing w:before="0" w:after="0"/>
              <w:ind w:left="0" w:right="0" w:hanging="0"/>
              <w:jc w:val="right"/>
              <w:rPr>
                <w:rFonts w:ascii="Times New Roman" w:hAnsi="Times New Roman"/>
                <w:smallCaps/>
                <w:sz w:val="20"/>
              </w:rPr>
            </w:pPr>
            <w:r>
              <w:rPr>
                <w:rFonts w:ascii="Times New Roman" w:hAnsi="Times New Roman"/>
                <w:smallCaps/>
                <w:sz w:val="20"/>
              </w:rPr>
              <w:t>9</w:t>
            </w:r>
          </w:p>
        </w:tc>
      </w:tr>
      <w:tr>
        <w:trPr/>
        <w:tc>
          <w:tcPr>
            <w:tcW w:w="275" w:type="dxa"/>
            <w:tcBorders/>
            <w:shd w:fill="FFFFFF" w:val="clear"/>
            <w:vAlign w:val="center"/>
          </w:tcPr>
          <w:p>
            <w:pPr>
              <w:pStyle w:val="TableContents"/>
              <w:bidi w:val="0"/>
              <w:spacing w:before="0" w:after="283"/>
              <w:jc w:val="left"/>
              <w:rPr/>
            </w:pPr>
            <w:r>
              <w:rPr/>
              <w:t> </w:t>
            </w:r>
          </w:p>
        </w:tc>
        <w:tc>
          <w:tcPr>
            <w:tcW w:w="69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7.</w:t>
            </w:r>
          </w:p>
        </w:tc>
        <w:tc>
          <w:tcPr>
            <w:tcW w:w="6980"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Administration</w:t>
            </w:r>
          </w:p>
        </w:tc>
        <w:tc>
          <w:tcPr>
            <w:tcW w:w="500" w:type="dxa"/>
            <w:tcBorders/>
            <w:shd w:fill="CCEEFF" w:val="clear"/>
            <w:vAlign w:val="center"/>
          </w:tcPr>
          <w:p>
            <w:pPr>
              <w:pStyle w:val="TableContents"/>
              <w:bidi w:val="0"/>
              <w:spacing w:before="0" w:after="0"/>
              <w:ind w:left="0" w:right="0" w:hanging="0"/>
              <w:jc w:val="right"/>
              <w:rPr>
                <w:rFonts w:ascii="Times New Roman" w:hAnsi="Times New Roman"/>
                <w:smallCaps/>
                <w:sz w:val="20"/>
              </w:rPr>
            </w:pPr>
            <w:r>
              <w:rPr>
                <w:rFonts w:ascii="Times New Roman" w:hAnsi="Times New Roman"/>
                <w:smallCaps/>
                <w:sz w:val="20"/>
              </w:rPr>
              <w:t>12</w:t>
            </w:r>
          </w:p>
        </w:tc>
      </w:tr>
      <w:tr>
        <w:trPr/>
        <w:tc>
          <w:tcPr>
            <w:tcW w:w="275" w:type="dxa"/>
            <w:tcBorders/>
            <w:shd w:fill="FFFFFF" w:val="clear"/>
            <w:vAlign w:val="center"/>
          </w:tcPr>
          <w:p>
            <w:pPr>
              <w:pStyle w:val="TableContents"/>
              <w:bidi w:val="0"/>
              <w:spacing w:before="0" w:after="283"/>
              <w:jc w:val="left"/>
              <w:rPr/>
            </w:pPr>
            <w:r>
              <w:rPr/>
              <w:t> </w:t>
            </w:r>
          </w:p>
        </w:tc>
        <w:tc>
          <w:tcPr>
            <w:tcW w:w="69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8.</w:t>
            </w:r>
          </w:p>
        </w:tc>
        <w:tc>
          <w:tcPr>
            <w:tcW w:w="6980"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Tax Withholding</w:t>
            </w:r>
          </w:p>
        </w:tc>
        <w:tc>
          <w:tcPr>
            <w:tcW w:w="500" w:type="dxa"/>
            <w:tcBorders/>
            <w:shd w:fill="CCEEFF" w:val="clear"/>
            <w:vAlign w:val="center"/>
          </w:tcPr>
          <w:p>
            <w:pPr>
              <w:pStyle w:val="TableContents"/>
              <w:bidi w:val="0"/>
              <w:spacing w:before="0" w:after="0"/>
              <w:ind w:left="0" w:right="0" w:hanging="0"/>
              <w:jc w:val="right"/>
              <w:rPr>
                <w:rFonts w:ascii="Times New Roman" w:hAnsi="Times New Roman"/>
                <w:smallCaps/>
                <w:sz w:val="20"/>
              </w:rPr>
            </w:pPr>
            <w:r>
              <w:rPr>
                <w:rFonts w:ascii="Times New Roman" w:hAnsi="Times New Roman"/>
                <w:smallCaps/>
                <w:sz w:val="20"/>
              </w:rPr>
              <w:t>15</w:t>
            </w:r>
          </w:p>
        </w:tc>
      </w:tr>
      <w:tr>
        <w:trPr/>
        <w:tc>
          <w:tcPr>
            <w:tcW w:w="275" w:type="dxa"/>
            <w:tcBorders/>
            <w:shd w:fill="FFFFFF" w:val="clear"/>
            <w:vAlign w:val="center"/>
          </w:tcPr>
          <w:p>
            <w:pPr>
              <w:pStyle w:val="TableContents"/>
              <w:bidi w:val="0"/>
              <w:spacing w:before="0" w:after="283"/>
              <w:jc w:val="left"/>
              <w:rPr/>
            </w:pPr>
            <w:r>
              <w:rPr/>
              <w:t> </w:t>
            </w:r>
          </w:p>
        </w:tc>
        <w:tc>
          <w:tcPr>
            <w:tcW w:w="69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9.</w:t>
            </w:r>
          </w:p>
        </w:tc>
        <w:tc>
          <w:tcPr>
            <w:tcW w:w="6980"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Miscellaneous</w:t>
            </w:r>
          </w:p>
        </w:tc>
        <w:tc>
          <w:tcPr>
            <w:tcW w:w="500" w:type="dxa"/>
            <w:tcBorders/>
            <w:shd w:fill="CCEEFF" w:val="clear"/>
            <w:vAlign w:val="center"/>
          </w:tcPr>
          <w:p>
            <w:pPr>
              <w:pStyle w:val="TableContents"/>
              <w:bidi w:val="0"/>
              <w:spacing w:before="0" w:after="0"/>
              <w:ind w:left="0" w:right="0" w:hanging="0"/>
              <w:jc w:val="right"/>
              <w:rPr>
                <w:rFonts w:ascii="Times New Roman" w:hAnsi="Times New Roman"/>
                <w:smallCaps/>
                <w:sz w:val="20"/>
              </w:rPr>
            </w:pPr>
            <w:r>
              <w:rPr>
                <w:rFonts w:ascii="Times New Roman" w:hAnsi="Times New Roman"/>
                <w:smallCaps/>
                <w:sz w:val="20"/>
              </w:rPr>
              <w:t>16</w:t>
            </w:r>
          </w:p>
        </w:tc>
      </w:tr>
      <w:tr>
        <w:trPr/>
        <w:tc>
          <w:tcPr>
            <w:tcW w:w="275" w:type="dxa"/>
            <w:tcBorders/>
            <w:shd w:fill="FFFFFF" w:val="clear"/>
            <w:vAlign w:val="center"/>
          </w:tcPr>
          <w:p>
            <w:pPr>
              <w:pStyle w:val="TableContents"/>
              <w:bidi w:val="0"/>
              <w:spacing w:before="0" w:after="283"/>
              <w:jc w:val="left"/>
              <w:rPr/>
            </w:pPr>
            <w:r>
              <w:rPr/>
              <w:t> </w:t>
            </w:r>
          </w:p>
        </w:tc>
        <w:tc>
          <w:tcPr>
            <w:tcW w:w="69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10.</w:t>
            </w:r>
          </w:p>
        </w:tc>
        <w:tc>
          <w:tcPr>
            <w:tcW w:w="6980"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Covenants of the Company</w:t>
            </w:r>
          </w:p>
        </w:tc>
        <w:tc>
          <w:tcPr>
            <w:tcW w:w="500" w:type="dxa"/>
            <w:tcBorders/>
            <w:shd w:fill="CCEEFF" w:val="clear"/>
            <w:vAlign w:val="center"/>
          </w:tcPr>
          <w:p>
            <w:pPr>
              <w:pStyle w:val="TableContents"/>
              <w:bidi w:val="0"/>
              <w:spacing w:before="0" w:after="0"/>
              <w:ind w:left="0" w:right="0" w:hanging="0"/>
              <w:jc w:val="right"/>
              <w:rPr>
                <w:rFonts w:ascii="Times New Roman" w:hAnsi="Times New Roman"/>
                <w:smallCaps/>
                <w:sz w:val="20"/>
              </w:rPr>
            </w:pPr>
            <w:r>
              <w:rPr>
                <w:rFonts w:ascii="Times New Roman" w:hAnsi="Times New Roman"/>
                <w:smallCaps/>
                <w:sz w:val="20"/>
              </w:rPr>
              <w:t>19</w:t>
            </w:r>
          </w:p>
        </w:tc>
      </w:tr>
      <w:tr>
        <w:trPr/>
        <w:tc>
          <w:tcPr>
            <w:tcW w:w="275" w:type="dxa"/>
            <w:tcBorders/>
            <w:shd w:fill="FFFFFF" w:val="clear"/>
            <w:vAlign w:val="center"/>
          </w:tcPr>
          <w:p>
            <w:pPr>
              <w:pStyle w:val="TableContents"/>
              <w:bidi w:val="0"/>
              <w:spacing w:before="0" w:after="283"/>
              <w:jc w:val="left"/>
              <w:rPr/>
            </w:pPr>
            <w:r>
              <w:rPr/>
              <w:t> </w:t>
            </w:r>
          </w:p>
        </w:tc>
        <w:tc>
          <w:tcPr>
            <w:tcW w:w="69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11.</w:t>
            </w:r>
          </w:p>
        </w:tc>
        <w:tc>
          <w:tcPr>
            <w:tcW w:w="6980"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Additional Rules for Awards Subject to Section 409a</w:t>
            </w:r>
          </w:p>
        </w:tc>
        <w:tc>
          <w:tcPr>
            <w:tcW w:w="500" w:type="dxa"/>
            <w:tcBorders/>
            <w:shd w:fill="CCEEFF" w:val="clear"/>
            <w:vAlign w:val="center"/>
          </w:tcPr>
          <w:p>
            <w:pPr>
              <w:pStyle w:val="TableContents"/>
              <w:bidi w:val="0"/>
              <w:spacing w:before="0" w:after="0"/>
              <w:ind w:left="0" w:right="0" w:hanging="0"/>
              <w:jc w:val="right"/>
              <w:rPr>
                <w:rFonts w:ascii="Times New Roman" w:hAnsi="Times New Roman"/>
                <w:smallCaps/>
                <w:sz w:val="20"/>
              </w:rPr>
            </w:pPr>
            <w:r>
              <w:rPr>
                <w:rFonts w:ascii="Times New Roman" w:hAnsi="Times New Roman"/>
                <w:smallCaps/>
                <w:sz w:val="20"/>
              </w:rPr>
              <w:t>19</w:t>
            </w:r>
          </w:p>
        </w:tc>
      </w:tr>
      <w:tr>
        <w:trPr/>
        <w:tc>
          <w:tcPr>
            <w:tcW w:w="275" w:type="dxa"/>
            <w:tcBorders/>
            <w:shd w:fill="FFFFFF" w:val="clear"/>
            <w:vAlign w:val="center"/>
          </w:tcPr>
          <w:p>
            <w:pPr>
              <w:pStyle w:val="TableContents"/>
              <w:bidi w:val="0"/>
              <w:spacing w:before="0" w:after="283"/>
              <w:jc w:val="left"/>
              <w:rPr/>
            </w:pPr>
            <w:r>
              <w:rPr/>
              <w:t> </w:t>
            </w:r>
          </w:p>
        </w:tc>
        <w:tc>
          <w:tcPr>
            <w:tcW w:w="69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12.</w:t>
            </w:r>
          </w:p>
        </w:tc>
        <w:tc>
          <w:tcPr>
            <w:tcW w:w="6980"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Severability</w:t>
            </w:r>
          </w:p>
        </w:tc>
        <w:tc>
          <w:tcPr>
            <w:tcW w:w="500" w:type="dxa"/>
            <w:tcBorders/>
            <w:shd w:fill="CCEEFF" w:val="clear"/>
            <w:vAlign w:val="center"/>
          </w:tcPr>
          <w:p>
            <w:pPr>
              <w:pStyle w:val="TableContents"/>
              <w:bidi w:val="0"/>
              <w:spacing w:before="0" w:after="0"/>
              <w:ind w:left="0" w:right="0" w:hanging="0"/>
              <w:jc w:val="right"/>
              <w:rPr>
                <w:rFonts w:ascii="Times New Roman" w:hAnsi="Times New Roman"/>
                <w:smallCaps/>
                <w:sz w:val="20"/>
              </w:rPr>
            </w:pPr>
            <w:r>
              <w:rPr>
                <w:rFonts w:ascii="Times New Roman" w:hAnsi="Times New Roman"/>
                <w:smallCaps/>
                <w:sz w:val="20"/>
              </w:rPr>
              <w:t>22</w:t>
            </w:r>
          </w:p>
        </w:tc>
      </w:tr>
      <w:tr>
        <w:trPr/>
        <w:tc>
          <w:tcPr>
            <w:tcW w:w="275" w:type="dxa"/>
            <w:tcBorders/>
            <w:shd w:fill="FFFFFF" w:val="clear"/>
            <w:vAlign w:val="center"/>
          </w:tcPr>
          <w:p>
            <w:pPr>
              <w:pStyle w:val="TableContents"/>
              <w:bidi w:val="0"/>
              <w:spacing w:before="0" w:after="283"/>
              <w:jc w:val="left"/>
              <w:rPr/>
            </w:pPr>
            <w:r>
              <w:rPr/>
              <w:t> </w:t>
            </w:r>
          </w:p>
        </w:tc>
        <w:tc>
          <w:tcPr>
            <w:tcW w:w="69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13.</w:t>
            </w:r>
          </w:p>
        </w:tc>
        <w:tc>
          <w:tcPr>
            <w:tcW w:w="6980"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Termination Of the Plan</w:t>
            </w:r>
          </w:p>
        </w:tc>
        <w:tc>
          <w:tcPr>
            <w:tcW w:w="500" w:type="dxa"/>
            <w:tcBorders/>
            <w:shd w:fill="CCEEFF" w:val="clear"/>
            <w:vAlign w:val="center"/>
          </w:tcPr>
          <w:p>
            <w:pPr>
              <w:pStyle w:val="TableContents"/>
              <w:bidi w:val="0"/>
              <w:spacing w:before="0" w:after="0"/>
              <w:ind w:left="0" w:right="0" w:hanging="0"/>
              <w:jc w:val="right"/>
              <w:rPr>
                <w:rFonts w:ascii="Times New Roman" w:hAnsi="Times New Roman"/>
                <w:smallCaps/>
                <w:sz w:val="20"/>
              </w:rPr>
            </w:pPr>
            <w:r>
              <w:rPr>
                <w:rFonts w:ascii="Times New Roman" w:hAnsi="Times New Roman"/>
                <w:smallCaps/>
                <w:sz w:val="20"/>
              </w:rPr>
              <w:t>23</w:t>
            </w:r>
          </w:p>
        </w:tc>
      </w:tr>
      <w:tr>
        <w:trPr/>
        <w:tc>
          <w:tcPr>
            <w:tcW w:w="275" w:type="dxa"/>
            <w:tcBorders/>
            <w:shd w:fill="FFFFFF" w:val="clear"/>
            <w:vAlign w:val="center"/>
          </w:tcPr>
          <w:p>
            <w:pPr>
              <w:pStyle w:val="TableContents"/>
              <w:bidi w:val="0"/>
              <w:spacing w:before="0" w:after="283"/>
              <w:jc w:val="left"/>
              <w:rPr/>
            </w:pPr>
            <w:r>
              <w:rPr/>
              <w:t> </w:t>
            </w:r>
          </w:p>
        </w:tc>
        <w:tc>
          <w:tcPr>
            <w:tcW w:w="69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14.</w:t>
            </w:r>
          </w:p>
        </w:tc>
        <w:tc>
          <w:tcPr>
            <w:tcW w:w="6980" w:type="dxa"/>
            <w:tcBorders/>
            <w:shd w:fill="CCEEFF" w:val="clear"/>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Definitions</w:t>
            </w:r>
          </w:p>
        </w:tc>
        <w:tc>
          <w:tcPr>
            <w:tcW w:w="50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105" w:type="dxa"/>
        <w:jc w:val="left"/>
        <w:tblInd w:w="0" w:type="dxa"/>
        <w:tblLayout w:type="fixed"/>
        <w:tblCellMar>
          <w:top w:w="0" w:type="dxa"/>
          <w:left w:w="0" w:type="dxa"/>
          <w:bottom w:w="0" w:type="dxa"/>
          <w:right w:w="0" w:type="dxa"/>
        </w:tblCellMar>
      </w:tblPr>
      <w:tblGrid>
        <w:gridCol w:w="215"/>
        <w:gridCol w:w="890"/>
      </w:tblGrid>
      <w:tr>
        <w:trPr/>
        <w:tc>
          <w:tcPr>
            <w:tcW w:w="2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1. </w:t>
            </w:r>
          </w:p>
        </w:tc>
        <w:tc>
          <w:tcPr>
            <w:tcW w:w="890" w:type="dxa"/>
            <w:tcBorders/>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General.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Successor to and Continuation of Prior Plan.</w:t>
      </w:r>
      <w:r>
        <w:rPr>
          <w:rFonts w:ascii="Times New Roman" w:hAnsi="Times New Roman"/>
          <w:caps w:val="false"/>
          <w:smallCaps w:val="false"/>
          <w:sz w:val="20"/>
        </w:rPr>
        <w:t xml:space="preserve"> The Plan is the successor to and continuation of the Prior Plan. As of the Effective Date, (i) no additional awards may be granted under the Prior Plan; (ii)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Plan Purpose.</w:t>
      </w:r>
      <w:r>
        <w:rPr>
          <w:rFonts w:ascii="Times New Roman" w:hAnsi="Times New Roman"/>
          <w:caps w:val="false"/>
          <w:smallCaps w:val="false"/>
          <w:sz w:val="20"/>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w:t>
      </w:r>
      <w:r>
        <w:rPr>
          <w:rFonts w:ascii="Times New Roman" w:hAnsi="Times New Roman"/>
          <w:b/>
          <w:caps w:val="false"/>
          <w:smallCaps w:val="false"/>
          <w:sz w:val="20"/>
        </w:rPr>
        <w:t>Available Awards.</w:t>
      </w:r>
      <w:r>
        <w:rPr>
          <w:rFonts w:ascii="Times New Roman" w:hAnsi="Times New Roman"/>
          <w:caps w:val="false"/>
          <w:smallCaps w:val="false"/>
          <w:sz w:val="20"/>
        </w:rPr>
        <w:t xml:space="preserve"> The Plan provides for the grant of the following Awards: (i) Incentive Stock Options; (ii) Nonstatutory Stock Options; (iii) SARs; (iv) Restricted Stock Awards; (v) RSU Awards; (vi) Performance Awards; and (vii) Other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w:t>
      </w:r>
      <w:r>
        <w:rPr>
          <w:rFonts w:ascii="Times New Roman" w:hAnsi="Times New Roman"/>
          <w:b/>
          <w:caps w:val="false"/>
          <w:smallCaps w:val="false"/>
          <w:sz w:val="20"/>
        </w:rPr>
        <w:t xml:space="preserve">Adoption Date. </w:t>
      </w:r>
      <w:r>
        <w:rPr>
          <w:rFonts w:ascii="Times New Roman" w:hAnsi="Times New Roman"/>
          <w:caps w:val="false"/>
          <w:smallCaps w:val="false"/>
          <w:sz w:val="20"/>
        </w:rPr>
        <w:t>The Plan will come into existence on the Adoption Date. No Award may be granted under the Plan prior to the Adoption Date. Any Award granted prior to the Effective Date is contingent upon timely receipt of stockholder approval to the extent required under applicable tax, securities and regulatory rules, and satisfaction of any other compliance requirements.</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215"/>
        <w:gridCol w:w="2720"/>
      </w:tblGrid>
      <w:tr>
        <w:trPr/>
        <w:tc>
          <w:tcPr>
            <w:tcW w:w="2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2. </w:t>
            </w:r>
          </w:p>
        </w:tc>
        <w:tc>
          <w:tcPr>
            <w:tcW w:w="2720" w:type="dxa"/>
            <w:tcBorders/>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Shares Subject to the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Share Reserve. </w:t>
      </w:r>
      <w:r>
        <w:rPr>
          <w:rFonts w:ascii="Times New Roman" w:hAnsi="Times New Roman"/>
          <w:caps w:val="false"/>
          <w:smallCaps w:val="false"/>
          <w:sz w:val="20"/>
        </w:rPr>
        <w:t>Subject to adjustment in accordance with Section 2(c) and any adjustments as necessary to implement any Capitalization Adjustments, the aggregate number of shares of Common Stock that may be issued pursuant to Awards will not exceed 4,561,395 shares plus the applicable number of any Returning Shares. The share reserve will be increased by the number of Returning Shares, if any, as such shares become available from time to time, for an additional number of shares not to exceed 744,608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Aggregate Incentive Stock Option Limit.</w:t>
      </w:r>
      <w:r>
        <w:rPr>
          <w:rFonts w:ascii="Times New Roman" w:hAnsi="Times New Roman"/>
          <w:caps w:val="false"/>
          <w:smallCaps w:val="false"/>
          <w:sz w:val="20"/>
        </w:rPr>
        <w:t xml:space="preserve"> Notwithstanding anything to the contrary in Section 2(a) and subject to any adjustments as necessary to implement any Capitalization Adjustments, the aggregate maximum number of shares of Common Stock that may be issued pursuant to the exercise of Incentive Stock Options is 9,500,000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Share Reserve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w:t>
      </w:r>
      <w:r>
        <w:rPr>
          <w:rFonts w:ascii="Times New Roman" w:hAnsi="Times New Roman"/>
          <w:b/>
          <w:caps w:val="false"/>
          <w:smallCaps w:val="false"/>
          <w:sz w:val="20"/>
        </w:rPr>
        <w:t xml:space="preserve">Limit Applies to Common Stock Issued Pursuant to Awards. </w:t>
      </w:r>
      <w:r>
        <w:rPr>
          <w:rFonts w:ascii="Times New Roman" w:hAnsi="Times New Roman"/>
          <w:caps w:val="false"/>
          <w:smallCaps w:val="false"/>
          <w:sz w:val="20"/>
        </w:rPr>
        <w:t>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w:t>
      </w:r>
      <w:r>
        <w:rPr>
          <w:rFonts w:ascii="Times New Roman" w:hAnsi="Times New Roman"/>
          <w:b/>
          <w:caps w:val="false"/>
          <w:smallCaps w:val="false"/>
          <w:sz w:val="20"/>
        </w:rPr>
        <w:t>Actions that Do Not Constitute Issuance of Common Stock and Do Not Reduce Share Reserve.</w:t>
      </w:r>
      <w:r>
        <w:rPr>
          <w:rFonts w:ascii="Times New Roman" w:hAnsi="Times New Roman"/>
          <w:caps w:val="false"/>
          <w:smallCaps w:val="false"/>
          <w:sz w:val="20"/>
        </w:rPr>
        <w:t xml:space="preserve">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or (2) the settlement of any portion of an Award in cash (</w:t>
      </w:r>
      <w:r>
        <w:rPr>
          <w:rFonts w:ascii="Times New Roman" w:hAnsi="Times New Roman"/>
          <w:i/>
          <w:caps w:val="false"/>
          <w:smallCaps w:val="false"/>
          <w:sz w:val="20"/>
        </w:rPr>
        <w:t>i.e.</w:t>
      </w:r>
      <w:r>
        <w:rPr>
          <w:rFonts w:ascii="Times New Roman" w:hAnsi="Times New Roman"/>
          <w:caps w:val="false"/>
          <w:smallCaps w:val="false"/>
          <w:sz w:val="20"/>
        </w:rPr>
        <w:t>, the Participant receives cash rather than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w:t>
      </w:r>
      <w:r>
        <w:rPr>
          <w:rFonts w:ascii="Times New Roman" w:hAnsi="Times New Roman"/>
          <w:b/>
          <w:caps w:val="false"/>
          <w:smallCaps w:val="false"/>
          <w:sz w:val="20"/>
        </w:rPr>
        <w:t>Reversion of Previously Issued Shares of Common Stock to Share Reserve.</w:t>
      </w:r>
      <w:r>
        <w:rPr>
          <w:rFonts w:ascii="Times New Roman" w:hAnsi="Times New Roman"/>
          <w:caps w:val="false"/>
          <w:smallCaps w:val="false"/>
          <w:sz w:val="20"/>
        </w:rPr>
        <w:t xml:space="preserve"> Shares of Common Stock previously issued pursuant to an Award and accordingly initially deducted from the Share Reserve that are forfeited back to or repurchased by the Company because of a failure to meet a contingency or condition required for the vesting of such shares will be added back to the Share Reserve and again become available for issuance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(iv)</w:t>
      </w:r>
      <w:r>
        <w:rPr>
          <w:rFonts w:ascii="Times New Roman" w:hAnsi="Times New Roman"/>
          <w:caps w:val="false"/>
          <w:smallCaps w:val="false"/>
          <w:sz w:val="20"/>
        </w:rPr>
        <w:t>    </w:t>
      </w:r>
      <w:r>
        <w:rPr>
          <w:rFonts w:ascii="Times New Roman" w:hAnsi="Times New Roman"/>
          <w:b/>
          <w:caps w:val="false"/>
          <w:smallCaps w:val="false"/>
          <w:sz w:val="20"/>
        </w:rPr>
        <w:t>Shares Not Available For Subsequent Issuance</w:t>
      </w:r>
      <w:r>
        <w:rPr>
          <w:rFonts w:ascii="Times New Roman" w:hAnsi="Times New Roman"/>
          <w:caps w:val="false"/>
          <w:smallCaps w:val="false"/>
          <w:sz w:val="20"/>
        </w:rPr>
        <w:t>. Any shares that (i) are reacquired by the Company to satisfy the exercise, strike or purchase price of an Award, (ii) are reacquired by the Company to satisfy a tax withholding obligation in connection with an Award, or (iii) are repurchased by the Company on the open market with the proceeds of the exercise or purchase price of an Award, or (iv) are from a Stock Appreciation Right that is settled in shares, will not again become available for issuance under the Plan.</w:t>
      </w:r>
    </w:p>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215"/>
        <w:gridCol w:w="2705"/>
      </w:tblGrid>
      <w:tr>
        <w:trPr/>
        <w:tc>
          <w:tcPr>
            <w:tcW w:w="2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3. </w:t>
            </w:r>
          </w:p>
        </w:tc>
        <w:tc>
          <w:tcPr>
            <w:tcW w:w="2705" w:type="dxa"/>
            <w:tcBorders/>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Eligibility and Limitations.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Eligible Award Recipients.</w:t>
      </w:r>
      <w:r>
        <w:rPr>
          <w:rFonts w:ascii="Times New Roman" w:hAnsi="Times New Roman"/>
          <w:caps w:val="false"/>
          <w:smallCaps w:val="false"/>
          <w:sz w:val="20"/>
        </w:rPr>
        <w:t xml:space="preserve"> Subject to the terms of the Plan, Employees, Directors and Consultants are eligible to receive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Specific Award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w:t>
      </w:r>
      <w:r>
        <w:rPr>
          <w:rFonts w:ascii="Times New Roman" w:hAnsi="Times New Roman"/>
          <w:b/>
          <w:caps w:val="false"/>
          <w:smallCaps w:val="false"/>
          <w:sz w:val="20"/>
        </w:rPr>
        <w:t>Limitations on Incentive Stock Option Recipients.</w:t>
      </w:r>
      <w:r>
        <w:rPr>
          <w:rFonts w:ascii="Times New Roman" w:hAnsi="Times New Roman"/>
          <w:caps w:val="false"/>
          <w:smallCaps w:val="false"/>
          <w:sz w:val="20"/>
        </w:rPr>
        <w:t xml:space="preserve"> Incentive Stock Options may be granted only to Employees of the Company or a “parent corporation” or “subsidiary corporation” thereof (as such terms are defined in Sections 424(e) and (f)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w:t>
      </w:r>
      <w:r>
        <w:rPr>
          <w:rFonts w:ascii="Times New Roman" w:hAnsi="Times New Roman"/>
          <w:b/>
          <w:caps w:val="false"/>
          <w:smallCaps w:val="false"/>
          <w:sz w:val="20"/>
        </w:rPr>
        <w:t>Incentive Stock Option $100,000 Limitation.</w:t>
      </w:r>
      <w:r>
        <w:rPr>
          <w:rFonts w:ascii="Times New Roman" w:hAnsi="Times New Roman"/>
          <w:caps w:val="false"/>
          <w:smallCaps w:val="false"/>
          <w:sz w:val="20"/>
        </w:rPr>
        <w:t xml:space="preserve">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w:t>
      </w:r>
      <w:r>
        <w:rPr>
          <w:rFonts w:ascii="Times New Roman" w:hAnsi="Times New Roman"/>
          <w:b/>
          <w:caps w:val="false"/>
          <w:smallCaps w:val="false"/>
          <w:sz w:val="20"/>
        </w:rPr>
        <w:t>Limitations on Incentive Stock Options Granted to Ten Percent Stockholders.</w:t>
      </w:r>
      <w:r>
        <w:rPr>
          <w:rFonts w:ascii="Times New Roman" w:hAnsi="Times New Roman"/>
          <w:caps w:val="false"/>
          <w:smallCaps w:val="false"/>
          <w:sz w:val="20"/>
        </w:rPr>
        <w:t xml:space="preserve"> A Ten Percent Stockholder may not be granted an Incentive Stock Option unless (i) the exercise price of such Option is at least 110% of the Fair Market Value on the date of grant of such Option and (ii) the Option is not exercisable after the expiration of five years from the date of grant of such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(iv)</w:t>
      </w:r>
      <w:r>
        <w:rPr>
          <w:rFonts w:ascii="Times New Roman" w:hAnsi="Times New Roman"/>
          <w:caps w:val="false"/>
          <w:smallCaps w:val="false"/>
          <w:sz w:val="20"/>
        </w:rPr>
        <w:t>    </w:t>
      </w:r>
      <w:r>
        <w:rPr>
          <w:rFonts w:ascii="Times New Roman" w:hAnsi="Times New Roman"/>
          <w:b/>
          <w:caps w:val="false"/>
          <w:smallCaps w:val="false"/>
          <w:sz w:val="20"/>
        </w:rPr>
        <w:t>Limitations on Nonstatutory Stock Options and SARs.</w:t>
      </w:r>
      <w:r>
        <w:rPr>
          <w:rFonts w:ascii="Times New Roman" w:hAnsi="Times New Roman"/>
          <w:caps w:val="false"/>
          <w:smallCaps w:val="false"/>
          <w:sz w:val="20"/>
        </w:rPr>
        <w:t xml:space="preserve"> Nonstatutory Stock Options and SARs 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w:t>
      </w:r>
      <w:r>
        <w:rPr>
          <w:rFonts w:ascii="Times New Roman" w:hAnsi="Times New Roman"/>
          <w:b/>
          <w:caps w:val="false"/>
          <w:smallCaps w:val="false"/>
          <w:sz w:val="20"/>
        </w:rPr>
        <w:t>Aggregate Incentive Stock Option Limit.</w:t>
      </w:r>
      <w:r>
        <w:rPr>
          <w:rFonts w:ascii="Times New Roman" w:hAnsi="Times New Roman"/>
          <w:caps w:val="false"/>
          <w:smallCaps w:val="false"/>
          <w:sz w:val="20"/>
        </w:rPr>
        <w:t xml:space="preserve"> The aggregate maximum number of shares of Common Stock that may be issued pursuant to the exercise of Incentive Stock Options is the number of shares specified in Section 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w:t>
      </w:r>
      <w:r>
        <w:rPr>
          <w:rFonts w:ascii="Times New Roman" w:hAnsi="Times New Roman"/>
          <w:b/>
          <w:caps w:val="false"/>
          <w:smallCaps w:val="false"/>
          <w:sz w:val="20"/>
        </w:rPr>
        <w:t xml:space="preserve">Non-Employee Director Compensation Limit. </w:t>
      </w:r>
      <w:r>
        <w:rPr>
          <w:rFonts w:ascii="Times New Roman" w:hAnsi="Times New Roman"/>
          <w:caps w:val="false"/>
          <w:smallCaps w:val="false"/>
          <w:sz w:val="20"/>
        </w:rPr>
        <w:t>The aggregate value of all compensation granted or paid, as applicable, to any individual for service as a Non-Employee Director with respect to any period commencing on the date of the Company’s Annual Meeting of Stockholders for a particular year and ending on the day immediately prior to the date of the Company’s Annual Meeting of Stockholders for the next subsequent year, including Awards granted and cash fees paid by the Company to such Non-Employee Director, will not exceed (i) $500,000 in total value or (ii) in the event such Non-Employee Director is first appointed or elected to the Board during such annual period, $750,000 in total value, in each case calculating the value of any equity awards based on the grant date fair value of such equity awards for financial reporting purposes.</w:t>
      </w:r>
    </w:p>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215"/>
        <w:gridCol w:w="3920"/>
      </w:tblGrid>
      <w:tr>
        <w:trPr/>
        <w:tc>
          <w:tcPr>
            <w:tcW w:w="2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4. </w:t>
            </w:r>
          </w:p>
        </w:tc>
        <w:tc>
          <w:tcPr>
            <w:tcW w:w="3920" w:type="dxa"/>
            <w:tcBorders/>
            <w:vAlign w:val="center"/>
          </w:tcPr>
          <w:p>
            <w:pPr>
              <w:pStyle w:val="TableContents"/>
              <w:bidi w:val="0"/>
              <w:spacing w:before="0" w:after="0"/>
              <w:ind w:left="0" w:right="0" w:hanging="0"/>
              <w:jc w:val="left"/>
              <w:rPr>
                <w:rFonts w:ascii="Times New Roman" w:hAnsi="Times New Roman"/>
                <w:b/>
                <w:smallCaps/>
                <w:sz w:val="20"/>
              </w:rPr>
            </w:pPr>
            <w:r>
              <w:rPr>
                <w:rFonts w:ascii="Times New Roman" w:hAnsi="Times New Roman"/>
                <w:b/>
                <w:smallCaps/>
                <w:sz w:val="20"/>
              </w:rPr>
              <w:t>Options and Stock Appreciation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Term.</w:t>
      </w:r>
      <w:r>
        <w:rPr>
          <w:rFonts w:ascii="Times New Roman" w:hAnsi="Times New Roman"/>
          <w:caps w:val="false"/>
          <w:smallCaps w:val="false"/>
          <w:sz w:val="20"/>
        </w:rPr>
        <w:t xml:space="preserve"> Subject to Section 3(b) regarding Ten Percent Stockholders, no Option or SAR will be exercisable after the expiration of ten years from the date of grant of such Award or such shorter period specified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Exercise or Strike Price.</w:t>
      </w:r>
      <w:r>
        <w:rPr>
          <w:rFonts w:ascii="Times New Roman" w:hAnsi="Times New Roman"/>
          <w:caps w:val="false"/>
          <w:smallCaps w:val="false"/>
          <w:sz w:val="20"/>
        </w:rPr>
        <w:t xml:space="preserve"> 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w:t>
      </w:r>
      <w:r>
        <w:rPr>
          <w:rFonts w:ascii="Times New Roman" w:hAnsi="Times New Roman"/>
          <w:b/>
          <w:caps w:val="false"/>
          <w:smallCaps w:val="false"/>
          <w:sz w:val="20"/>
        </w:rPr>
        <w:t>Exercise Procedure and Payment of Exercise Price for Options.</w:t>
      </w:r>
      <w:r>
        <w:rPr>
          <w:rFonts w:ascii="Times New Roman" w:hAnsi="Times New Roman"/>
          <w:caps w:val="false"/>
          <w:smallCaps w:val="false"/>
          <w:sz w:val="20"/>
        </w:rPr>
        <w:t xml:space="preserve">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by cash or check, bank draft or money order payable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(iv)</w:t>
      </w:r>
      <w:r>
        <w:rPr>
          <w:rFonts w:ascii="Times New Roman" w:hAnsi="Times New Roman"/>
          <w:caps w:val="false"/>
          <w:smallCaps w:val="false"/>
          <w:sz w:val="20"/>
        </w:rPr>
        <w:t>    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(v)</w:t>
      </w:r>
      <w:r>
        <w:rPr>
          <w:rFonts w:ascii="Times New Roman" w:hAnsi="Times New Roman"/>
          <w:caps w:val="false"/>
          <w:smallCaps w:val="false"/>
          <w:sz w:val="20"/>
        </w:rPr>
        <w:t>    in any other form of consideration that may be acceptable to the Board and permissible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w:t>
      </w:r>
      <w:r>
        <w:rPr>
          <w:rFonts w:ascii="Times New Roman" w:hAnsi="Times New Roman"/>
          <w:b/>
          <w:caps w:val="false"/>
          <w:smallCaps w:val="false"/>
          <w:sz w:val="20"/>
        </w:rPr>
        <w:t>Exercise Procedure and Payment of Appreciation Distribution for SARs.</w:t>
      </w:r>
      <w:r>
        <w:rPr>
          <w:rFonts w:ascii="Times New Roman" w:hAnsi="Times New Roman"/>
          <w:caps w:val="false"/>
          <w:smallCaps w:val="false"/>
          <w:sz w:val="20"/>
        </w:rPr>
        <w:t xml:space="preserve">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(e)</w:t>
      </w:r>
      <w:r>
        <w:rPr>
          <w:rFonts w:ascii="Times New Roman" w:hAnsi="Times New Roman"/>
          <w:caps w:val="false"/>
          <w:smallCaps w:val="false"/>
          <w:sz w:val="20"/>
        </w:rPr>
        <w:t>    </w:t>
      </w:r>
      <w:r>
        <w:rPr>
          <w:rFonts w:ascii="Times New Roman" w:hAnsi="Times New Roman"/>
          <w:b/>
          <w:caps w:val="false"/>
          <w:smallCaps w:val="false"/>
          <w:sz w:val="20"/>
        </w:rPr>
        <w:t>Transferability.</w:t>
      </w:r>
      <w:r>
        <w:rPr>
          <w:rFonts w:ascii="Times New Roman" w:hAnsi="Times New Roman"/>
          <w:caps w:val="false"/>
          <w:smallCaps w:val="false"/>
          <w:sz w:val="20"/>
        </w:rPr>
        <w:t xml:space="preserve"> 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hAnsi="Times New Roman"/>
          <w:i/>
          <w:caps w:val="false"/>
          <w:smallCaps w:val="false"/>
          <w:sz w:val="20"/>
        </w:rPr>
        <w:t>provided, further</w:t>
      </w:r>
      <w:r>
        <w:rPr>
          <w:rFonts w:ascii="Times New Roman" w:hAnsi="Times New Roman"/>
          <w:caps w:val="false"/>
          <w:smallCaps w:val="false"/>
          <w:sz w:val="20"/>
        </w:rPr>
        <w:t>, that if an Option is an Incentive Stock Option, such Option may be deemed to be a Nonstatutory Stock Option as a result of such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w:t>
      </w:r>
      <w:r>
        <w:rPr>
          <w:rFonts w:ascii="Times New Roman" w:hAnsi="Times New Roman"/>
          <w:b/>
          <w:caps w:val="false"/>
          <w:smallCaps w:val="false"/>
          <w:sz w:val="20"/>
        </w:rPr>
        <w:t>Restrictions on Transfer.</w:t>
      </w:r>
      <w:r>
        <w:rPr>
          <w:rFonts w:ascii="Times New Roman" w:hAnsi="Times New Roman"/>
          <w:caps w:val="false"/>
          <w:smallCaps w:val="false"/>
          <w:sz w:val="20"/>
        </w:rPr>
        <w:t xml:space="preserve">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w:t>
      </w:r>
      <w:r>
        <w:rPr>
          <w:rFonts w:ascii="Times New Roman" w:hAnsi="Times New Roman"/>
          <w:b/>
          <w:caps w:val="false"/>
          <w:smallCaps w:val="false"/>
          <w:sz w:val="20"/>
        </w:rPr>
        <w:t>Domestic Relations Orders.</w:t>
      </w:r>
      <w:r>
        <w:rPr>
          <w:rFonts w:ascii="Times New Roman" w:hAnsi="Times New Roman"/>
          <w:caps w:val="false"/>
          <w:smallCaps w:val="false"/>
          <w:sz w:val="20"/>
        </w:rPr>
        <w:t xml:space="preserve"> Notwithstanding the foregoing, subject to the execution of transfer documentation in a format acceptable to the Company and subject to the approval of the Board or a duly authorized Officer, an Option or SAR may be transferred pursuant to a domestic relations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(f)</w:t>
      </w:r>
      <w:r>
        <w:rPr>
          <w:rFonts w:ascii="Times New Roman" w:hAnsi="Times New Roman"/>
          <w:caps w:val="false"/>
          <w:smallCaps w:val="false"/>
          <w:sz w:val="20"/>
        </w:rPr>
        <w:t>    </w:t>
      </w:r>
      <w:r>
        <w:rPr>
          <w:rFonts w:ascii="Times New Roman" w:hAnsi="Times New Roman"/>
          <w:b/>
          <w:caps w:val="false"/>
          <w:smallCaps w:val="false"/>
          <w:sz w:val="20"/>
        </w:rPr>
        <w:t>Vesting.</w:t>
      </w:r>
      <w:r>
        <w:rPr>
          <w:rFonts w:ascii="Times New Roman" w:hAnsi="Times New Roman"/>
          <w:caps w:val="false"/>
          <w:smallCaps w:val="false"/>
          <w:sz w:val="20"/>
        </w:rPr>
        <w:t xml:space="preserve"> The Board may impose such restrictions on or conditions to the vesting and/or 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(g)</w:t>
      </w:r>
      <w:r>
        <w:rPr>
          <w:rFonts w:ascii="Times New Roman" w:hAnsi="Times New Roman"/>
          <w:caps w:val="false"/>
          <w:smallCaps w:val="false"/>
          <w:sz w:val="20"/>
        </w:rPr>
        <w:t>    </w:t>
      </w:r>
      <w:r>
        <w:rPr>
          <w:rFonts w:ascii="Times New Roman" w:hAnsi="Times New Roman"/>
          <w:b/>
          <w:caps w:val="false"/>
          <w:smallCaps w:val="false"/>
          <w:sz w:val="20"/>
        </w:rPr>
        <w:t>Termination of Continuous Service for Cause.</w:t>
      </w:r>
      <w:r>
        <w:rPr>
          <w:rFonts w:ascii="Times New Roman" w:hAnsi="Times New Roman"/>
          <w:caps w:val="false"/>
          <w:smallCaps w:val="false"/>
          <w:sz w:val="20"/>
        </w:rPr>
        <w:t xml:space="preserve"> Except as explicitly otherwise 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(h)</w:t>
      </w:r>
      <w:r>
        <w:rPr>
          <w:rFonts w:ascii="Times New Roman" w:hAnsi="Times New Roman"/>
          <w:caps w:val="false"/>
          <w:smallCaps w:val="false"/>
          <w:sz w:val="20"/>
        </w:rPr>
        <w:t>    </w:t>
      </w:r>
      <w:r>
        <w:rPr>
          <w:rFonts w:ascii="Times New Roman" w:hAnsi="Times New Roman"/>
          <w:b/>
          <w:caps w:val="false"/>
          <w:smallCaps w:val="false"/>
          <w:sz w:val="20"/>
        </w:rPr>
        <w:t>Post-Termination Exercise Period Following Termination of Continuous Service for Reasons Other than Cause.</w:t>
      </w:r>
      <w:r>
        <w:rPr>
          <w:rFonts w:ascii="Times New Roman" w:hAnsi="Times New Roman"/>
          <w:caps w:val="false"/>
          <w:smallCaps w:val="false"/>
          <w:sz w:val="20"/>
        </w:rPr>
        <w:t xml:space="preserve"> 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three months following the date of such termination if such termination is a termination without Cause (other than any termination due to the Participant’s Disability or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12 months following the date of such termination if such termination is due to the Participant’s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18 months following the date of such termination if such termination is due to the Participant’s death;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(iv)</w:t>
      </w:r>
      <w:r>
        <w:rPr>
          <w:rFonts w:ascii="Times New Roman" w:hAnsi="Times New Roman"/>
          <w:caps w:val="false"/>
          <w:smallCaps w:val="false"/>
          <w:sz w:val="20"/>
        </w:rPr>
        <w:t>    18 months following the date of the Participant’s death if such death occurs following the date of such termination but during the period such Award is otherwise exercisable (as provided in (i) or (ii)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terminated Award, the shares of Common Stock subject to the terminated Award, or any consideration in respect of the terminated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w:t>
      </w:r>
      <w:r>
        <w:rPr>
          <w:rFonts w:ascii="Times New Roman" w:hAnsi="Times New Roman"/>
          <w:b/>
          <w:caps w:val="false"/>
          <w:smallCaps w:val="false"/>
          <w:sz w:val="20"/>
        </w:rPr>
        <w:t xml:space="preserve">Restrictions on Exercise; Extension of Exercisability. </w:t>
      </w:r>
      <w:r>
        <w:rPr>
          <w:rFonts w:ascii="Times New Roman" w:hAnsi="Times New Roman"/>
          <w:caps w:val="false"/>
          <w:smallCaps w:val="false"/>
          <w:sz w:val="20"/>
        </w:rPr>
        <w:t>A Participant may not exercise an 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(j)</w:t>
      </w:r>
      <w:r>
        <w:rPr>
          <w:rFonts w:ascii="Times New Roman" w:hAnsi="Times New Roman"/>
          <w:caps w:val="false"/>
          <w:smallCaps w:val="false"/>
          <w:sz w:val="20"/>
        </w:rPr>
        <w:t>    </w:t>
      </w:r>
      <w:r>
        <w:rPr>
          <w:rFonts w:ascii="Times New Roman" w:hAnsi="Times New Roman"/>
          <w:b/>
          <w:caps w:val="false"/>
          <w:smallCaps w:val="false"/>
          <w:sz w:val="20"/>
        </w:rPr>
        <w:t>Non-Exempt Employees</w:t>
      </w:r>
      <w:r>
        <w:rPr>
          <w:rFonts w:ascii="Times New Roman" w:hAnsi="Times New Roman"/>
          <w:caps w:val="false"/>
          <w:smallCaps w:val="false"/>
          <w:sz w:val="20"/>
        </w:rPr>
        <w:t>. 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(k)</w:t>
      </w:r>
      <w:r>
        <w:rPr>
          <w:rFonts w:ascii="Times New Roman" w:hAnsi="Times New Roman"/>
          <w:caps w:val="false"/>
          <w:smallCaps w:val="false"/>
          <w:sz w:val="20"/>
        </w:rPr>
        <w:t>    </w:t>
      </w:r>
      <w:r>
        <w:rPr>
          <w:rFonts w:ascii="Times New Roman" w:hAnsi="Times New Roman"/>
          <w:b/>
          <w:caps w:val="false"/>
          <w:smallCaps w:val="false"/>
          <w:sz w:val="20"/>
        </w:rPr>
        <w:t>Whole Shares</w:t>
      </w:r>
      <w:r>
        <w:rPr>
          <w:rFonts w:ascii="Times New Roman" w:hAnsi="Times New Roman"/>
          <w:caps w:val="false"/>
          <w:smallCaps w:val="false"/>
          <w:sz w:val="20"/>
        </w:rPr>
        <w:t>. Options and SARs may be exercised only with respect to whole shares of Common Stock or their equivalents.</w:t>
      </w:r>
    </w:p>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215"/>
        <w:gridCol w:w="5930"/>
      </w:tblGrid>
      <w:tr>
        <w:trPr/>
        <w:tc>
          <w:tcPr>
            <w:tcW w:w="21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5. </w:t>
            </w:r>
          </w:p>
        </w:tc>
        <w:tc>
          <w:tcPr>
            <w:tcW w:w="5930" w:type="dxa"/>
            <w:tcBorders/>
            <w:vAlign w:val="center"/>
          </w:tcPr>
          <w:p>
            <w:pPr>
              <w:pStyle w:val="TableContents"/>
              <w:bidi w:val="0"/>
              <w:spacing w:before="0" w:after="0"/>
              <w:ind w:left="0" w:right="0" w:hanging="0"/>
              <w:jc w:val="both"/>
              <w:rPr>
                <w:rFonts w:ascii="Times New Roman" w:hAnsi="Times New Roman"/>
                <w:b/>
                <w:smallCaps/>
                <w:sz w:val="20"/>
              </w:rPr>
            </w:pPr>
            <w:r>
              <w:rPr>
                <w:rFonts w:ascii="Times New Roman" w:hAnsi="Times New Roman"/>
                <w:b/>
                <w:smallCaps/>
                <w:sz w:val="20"/>
              </w:rPr>
              <w:t>Awards Other Than Options and Stock Appreciation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Restricted Stock Awards and RSU Awards.</w:t>
      </w:r>
      <w:r>
        <w:rPr>
          <w:rFonts w:ascii="Times New Roman" w:hAnsi="Times New Roman"/>
          <w:caps w:val="false"/>
          <w:smallCaps w:val="false"/>
          <w:sz w:val="20"/>
        </w:rPr>
        <w:t xml:space="preserve">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w:t>
      </w:r>
      <w:r>
        <w:rPr>
          <w:rFonts w:ascii="Times New Roman" w:hAnsi="Times New Roman"/>
          <w:b/>
          <w:caps w:val="false"/>
          <w:smallCaps w:val="false"/>
          <w:sz w:val="20"/>
        </w:rPr>
        <w:t>Form of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1620"/>
        <w:jc w:val="both"/>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1620"/>
        <w:jc w:val="both"/>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w:t>
      </w:r>
      <w:r>
        <w:rPr>
          <w:rFonts w:ascii="Times New Roman" w:hAnsi="Times New Roman"/>
          <w:b/>
          <w:caps w:val="false"/>
          <w:smallCaps w:val="false"/>
          <w:sz w:val="20"/>
        </w:rPr>
        <w:t>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1620"/>
        <w:jc w:val="both"/>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1620"/>
        <w:jc w:val="both"/>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w:t>
      </w:r>
      <w:r>
        <w:rPr>
          <w:rFonts w:ascii="Times New Roman" w:hAnsi="Times New Roman"/>
          <w:b/>
          <w:caps w:val="false"/>
          <w:smallCaps w:val="false"/>
          <w:sz w:val="20"/>
        </w:rPr>
        <w:t xml:space="preserve">Vesting. </w:t>
      </w:r>
      <w:r>
        <w:rPr>
          <w:rFonts w:ascii="Times New Roman" w:hAnsi="Times New Roman"/>
          <w:caps w:val="false"/>
          <w:smallCaps w:val="false"/>
          <w:sz w:val="20"/>
        </w:rPr>
        <w:t>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(iv)</w:t>
      </w:r>
      <w:r>
        <w:rPr>
          <w:rFonts w:ascii="Times New Roman" w:hAnsi="Times New Roman"/>
          <w:caps w:val="false"/>
          <w:smallCaps w:val="false"/>
          <w:sz w:val="20"/>
        </w:rPr>
        <w:t>    </w:t>
      </w:r>
      <w:r>
        <w:rPr>
          <w:rFonts w:ascii="Times New Roman" w:hAnsi="Times New Roman"/>
          <w:b/>
          <w:caps w:val="false"/>
          <w:smallCaps w:val="false"/>
          <w:sz w:val="20"/>
        </w:rPr>
        <w:t>Termination of Continuous Service.</w:t>
      </w:r>
      <w:r>
        <w:rPr>
          <w:rFonts w:ascii="Times New Roman" w:hAnsi="Times New Roman"/>
          <w:caps w:val="false"/>
          <w:smallCaps w:val="false"/>
          <w:sz w:val="20"/>
        </w:rPr>
        <w:t xml:space="preserve"> Except as otherwise provided in the Award Agreement or other written agreement between a 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(v)</w:t>
      </w:r>
      <w:r>
        <w:rPr>
          <w:rFonts w:ascii="Times New Roman" w:hAnsi="Times New Roman"/>
          <w:caps w:val="false"/>
          <w:smallCaps w:val="false"/>
          <w:sz w:val="20"/>
        </w:rPr>
        <w:t>    </w:t>
      </w:r>
      <w:r>
        <w:rPr>
          <w:rFonts w:ascii="Times New Roman" w:hAnsi="Times New Roman"/>
          <w:b/>
          <w:caps w:val="false"/>
          <w:smallCaps w:val="false"/>
          <w:sz w:val="20"/>
        </w:rPr>
        <w:t xml:space="preserve">Dividends and Dividend Equivalents. </w:t>
      </w:r>
      <w:r>
        <w:rPr>
          <w:rFonts w:ascii="Times New Roman" w:hAnsi="Times New Roman"/>
          <w:caps w:val="false"/>
          <w:smallCaps w:val="false"/>
          <w:sz w:val="20"/>
        </w:rPr>
        <w:t>Dividends or dividend equivalents may be paid or credited, as applicable, with respect to any shares of Common Stock subject to a Restricted Stock Award or RSU Award, as determined by the Board and specified in the Award Agreement); provided, however, that (i) no dividends or dividend equivalents may be 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 that are credited with respect to any such shares will be forfeited to the Company on the date such shares are forfeited to or repurchased by the Company due to a failure to 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(vi)</w:t>
      </w:r>
      <w:r>
        <w:rPr>
          <w:rFonts w:ascii="Times New Roman" w:hAnsi="Times New Roman"/>
          <w:caps w:val="false"/>
          <w:smallCaps w:val="false"/>
          <w:sz w:val="20"/>
        </w:rPr>
        <w:t>    </w:t>
      </w:r>
      <w:r>
        <w:rPr>
          <w:rFonts w:ascii="Times New Roman" w:hAnsi="Times New Roman"/>
          <w:b/>
          <w:caps w:val="false"/>
          <w:smallCaps w:val="false"/>
          <w:sz w:val="20"/>
        </w:rPr>
        <w:t>Settlement of RSU Awards</w:t>
      </w:r>
      <w:r>
        <w:rPr>
          <w:rFonts w:ascii="Times New Roman" w:hAnsi="Times New Roman"/>
          <w:caps w:val="false"/>
          <w:smallCaps w:val="false"/>
          <w:sz w:val="20"/>
        </w:rPr>
        <w:t>. A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Performance Awards</w:t>
      </w:r>
      <w:r>
        <w:rPr>
          <w:rFonts w:ascii="Times New Roman" w:hAnsi="Times New Roman"/>
          <w:caps w:val="false"/>
          <w:smallCaps w:val="false"/>
          <w:sz w:val="20"/>
        </w:rPr>
        <w:t>.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w:t>
      </w:r>
      <w:r>
        <w:rPr>
          <w:rFonts w:ascii="Times New Roman" w:hAnsi="Times New Roman"/>
          <w:b/>
          <w:caps w:val="false"/>
          <w:smallCaps w:val="false"/>
          <w:sz w:val="20"/>
        </w:rPr>
        <w:t>Other Awards</w:t>
      </w:r>
      <w:r>
        <w:rPr>
          <w:rFonts w:ascii="Times New Roman" w:hAnsi="Times New Roman"/>
          <w:caps w:val="false"/>
          <w:smallCaps w:val="false"/>
          <w:sz w:val="20"/>
        </w:rPr>
        <w:t>. Other forms of Awards valued in whole or in part by reference to, or otherwise based on, Common 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215"/>
        <w:gridCol w:w="7010"/>
      </w:tblGrid>
      <w:tr>
        <w:trPr/>
        <w:tc>
          <w:tcPr>
            <w:tcW w:w="21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6. </w:t>
            </w:r>
          </w:p>
        </w:tc>
        <w:tc>
          <w:tcPr>
            <w:tcW w:w="7010" w:type="dxa"/>
            <w:tcBorders/>
            <w:vAlign w:val="center"/>
          </w:tcPr>
          <w:p>
            <w:pPr>
              <w:pStyle w:val="TableContents"/>
              <w:bidi w:val="0"/>
              <w:spacing w:before="0" w:after="0"/>
              <w:ind w:left="0" w:right="0" w:hanging="0"/>
              <w:jc w:val="both"/>
              <w:rPr>
                <w:rFonts w:ascii="Times New Roman" w:hAnsi="Times New Roman"/>
                <w:b/>
                <w:smallCaps/>
                <w:sz w:val="20"/>
              </w:rPr>
            </w:pPr>
            <w:r>
              <w:rPr>
                <w:rFonts w:ascii="Times New Roman" w:hAnsi="Times New Roman"/>
                <w:b/>
                <w:smallCaps/>
                <w:sz w:val="20"/>
              </w:rPr>
              <w:t>Adjustments upon Changes in Common Stock; Other Corporate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Capitalization Adjustments</w:t>
      </w:r>
      <w:r>
        <w:rPr>
          <w:rFonts w:ascii="Times New Roman" w:hAnsi="Times New Roman"/>
          <w:caps w:val="false"/>
          <w:smallCaps w:val="false"/>
          <w:sz w:val="20"/>
        </w:rPr>
        <w:t>. In the event of a Capitalization Adjustment, the Board shall appropriately and proportionately adjust: (i) the class(es) and maximum number of shares of Common Stock subject to the Plan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equivalent benefit for any fractional shares or rights to fractional shares that might be created by the adjustments referred to in the preceding provisions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Dissolution or Liquidation</w:t>
      </w:r>
      <w:r>
        <w:rPr>
          <w:rFonts w:ascii="Times New Roman" w:hAnsi="Times New Roman"/>
          <w:caps w:val="false"/>
          <w:smallCaps w:val="false"/>
          <w:sz w:val="20"/>
        </w:rPr>
        <w:t>.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w:t>
      </w:r>
      <w:r>
        <w:rPr>
          <w:rFonts w:ascii="Times New Roman" w:hAnsi="Times New Roman"/>
          <w:b/>
          <w:caps w:val="false"/>
          <w:smallCaps w:val="false"/>
          <w:sz w:val="20"/>
        </w:rPr>
        <w:t xml:space="preserve">Corporate Transaction. </w:t>
      </w:r>
      <w:r>
        <w:rPr>
          <w:rFonts w:ascii="Times New Roman" w:hAnsi="Times New Roman"/>
          <w:caps w:val="false"/>
          <w:smallCaps w:val="false"/>
          <w:sz w:val="20"/>
        </w:rPr>
        <w:t>The following provisions will apply to Awards in the event of a Corporate Transaction unless otherwise provided in the instrument evidencing the Award or any other written agreement between the Company or any Affiliate and the Participant or unless otherwise expressly provided by the Board at the time of grant of an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w:t>
      </w:r>
      <w:r>
        <w:rPr>
          <w:rFonts w:ascii="Times New Roman" w:hAnsi="Times New Roman"/>
          <w:b/>
          <w:caps w:val="false"/>
          <w:smallCaps w:val="false"/>
          <w:sz w:val="20"/>
        </w:rPr>
        <w:t>Awards May Be Assumed.</w:t>
      </w:r>
      <w:r>
        <w:rPr>
          <w:rFonts w:ascii="Times New Roman" w:hAnsi="Times New Roman"/>
          <w:caps w:val="false"/>
          <w:smallCaps w:val="false"/>
          <w:sz w:val="20"/>
        </w:rPr>
        <w:t xml:space="preserve">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w:t>
      </w:r>
      <w:r>
        <w:rPr>
          <w:rFonts w:ascii="Times New Roman" w:hAnsi="Times New Roman"/>
          <w:b/>
          <w:caps w:val="false"/>
          <w:smallCaps w:val="false"/>
          <w:sz w:val="20"/>
        </w:rPr>
        <w:t>Awards Held by Current Participants.</w:t>
      </w:r>
      <w:r>
        <w:rPr>
          <w:rFonts w:ascii="Times New Roman" w:hAnsi="Times New Roman"/>
          <w:caps w:val="false"/>
          <w:smallCaps w:val="false"/>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hAnsi="Times New Roman"/>
          <w:b/>
          <w:i/>
          <w:caps w:val="false"/>
          <w:smallCaps w:val="false"/>
          <w:sz w:val="20"/>
        </w:rPr>
        <w:t>Current Participants</w:t>
      </w:r>
      <w:r>
        <w:rPr>
          <w:rFonts w:ascii="Times New Roman" w:hAnsi="Times New Roman"/>
          <w:caps w:val="false"/>
          <w:smallCaps w:val="false"/>
          <w:sz w:val="20"/>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w:t>
      </w:r>
      <w:r>
        <w:rPr>
          <w:rFonts w:ascii="Times New Roman" w:hAnsi="Times New Roman"/>
          <w:b/>
          <w:caps w:val="false"/>
          <w:smallCaps w:val="false"/>
          <w:sz w:val="20"/>
        </w:rPr>
        <w:t>Awards Held by Persons other than Current Participants.</w:t>
      </w:r>
      <w:r>
        <w:rPr>
          <w:rFonts w:ascii="Times New Roman" w:hAnsi="Times New Roman"/>
          <w:caps w:val="false"/>
          <w:smallCaps w:val="false"/>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(iv)</w:t>
      </w:r>
      <w:r>
        <w:rPr>
          <w:rFonts w:ascii="Times New Roman" w:hAnsi="Times New Roman"/>
          <w:caps w:val="false"/>
          <w:smallCaps w:val="false"/>
          <w:sz w:val="20"/>
        </w:rPr>
        <w:t>    </w:t>
      </w:r>
      <w:r>
        <w:rPr>
          <w:rFonts w:ascii="Times New Roman" w:hAnsi="Times New Roman"/>
          <w:b/>
          <w:caps w:val="false"/>
          <w:smallCaps w:val="false"/>
          <w:sz w:val="20"/>
        </w:rPr>
        <w:t>Payment for Awards in Lieu of Exercise.</w:t>
      </w:r>
      <w:r>
        <w:rPr>
          <w:rFonts w:ascii="Times New Roman" w:hAnsi="Times New Roman"/>
          <w:caps w:val="false"/>
          <w:smallCaps w:val="false"/>
          <w:sz w:val="20"/>
        </w:rPr>
        <w:t xml:space="preserve"> 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w:t>
      </w:r>
      <w:r>
        <w:rPr>
          <w:rFonts w:ascii="Times New Roman" w:hAnsi="Times New Roman"/>
          <w:b/>
          <w:caps w:val="false"/>
          <w:smallCaps w:val="false"/>
          <w:sz w:val="20"/>
        </w:rPr>
        <w:t>Appointment of Stockholder Representative.</w:t>
      </w:r>
      <w:r>
        <w:rPr>
          <w:rFonts w:ascii="Times New Roman" w:hAnsi="Times New Roman"/>
          <w:caps w:val="false"/>
          <w:smallCaps w:val="false"/>
          <w:sz w:val="20"/>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(e)</w:t>
      </w:r>
      <w:r>
        <w:rPr>
          <w:rFonts w:ascii="Times New Roman" w:hAnsi="Times New Roman"/>
          <w:caps w:val="false"/>
          <w:smallCaps w:val="false"/>
          <w:sz w:val="20"/>
        </w:rPr>
        <w:t>    </w:t>
      </w:r>
      <w:r>
        <w:rPr>
          <w:rFonts w:ascii="Times New Roman" w:hAnsi="Times New Roman"/>
          <w:b/>
          <w:caps w:val="false"/>
          <w:smallCaps w:val="false"/>
          <w:sz w:val="20"/>
        </w:rPr>
        <w:t>No Restriction on Right to Undertake Transactions</w:t>
      </w:r>
      <w:r>
        <w:rPr>
          <w:rFonts w:ascii="Times New Roman" w:hAnsi="Times New Roman"/>
          <w:caps w:val="false"/>
          <w:smallCaps w:val="false"/>
          <w:sz w:val="20"/>
        </w:rPr>
        <w:t>. The grant of any Award under the Plan and the 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(f)</w:t>
      </w:r>
      <w:r>
        <w:rPr>
          <w:rFonts w:ascii="Times New Roman" w:hAnsi="Times New Roman"/>
          <w:caps w:val="false"/>
          <w:smallCaps w:val="false"/>
          <w:sz w:val="20"/>
        </w:rPr>
        <w:t>    </w:t>
      </w:r>
      <w:r>
        <w:rPr>
          <w:rFonts w:ascii="Times New Roman" w:hAnsi="Times New Roman"/>
          <w:b/>
          <w:caps w:val="false"/>
          <w:smallCaps w:val="false"/>
          <w:sz w:val="20"/>
        </w:rPr>
        <w:t xml:space="preserve">Parachute Payments.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Unless otherwise provided in an agreement between a Participant and the Company, if any payment or benefit the Participant would receive pursuant to a Change in Control from the Company or otherwise (“</w:t>
      </w:r>
      <w:r>
        <w:rPr>
          <w:rFonts w:ascii="Times New Roman" w:hAnsi="Times New Roman"/>
          <w:b/>
          <w:i/>
          <w:caps w:val="false"/>
          <w:smallCaps w:val="false"/>
          <w:sz w:val="20"/>
        </w:rPr>
        <w:t>Payment</w:t>
      </w:r>
      <w:r>
        <w:rPr>
          <w:rFonts w:ascii="Times New Roman" w:hAnsi="Times New Roman"/>
          <w:caps w:val="false"/>
          <w:smallCaps w:val="false"/>
          <w:sz w:val="20"/>
        </w:rPr>
        <w:t>”) would (i) constitute a “parachute payment” within the meaning of Section 280G of the Code, and (ii) but for this sentence, be subject to the excise tax imposed by Section 4999 of the Code (the “</w:t>
      </w:r>
      <w:r>
        <w:rPr>
          <w:rFonts w:ascii="Times New Roman" w:hAnsi="Times New Roman"/>
          <w:b/>
          <w:i/>
          <w:caps w:val="false"/>
          <w:smallCaps w:val="false"/>
          <w:sz w:val="20"/>
        </w:rPr>
        <w:t>Excise Tax</w:t>
      </w:r>
      <w:r>
        <w:rPr>
          <w:rFonts w:ascii="Times New Roman" w:hAnsi="Times New Roman"/>
          <w:caps w:val="false"/>
          <w:smallCaps w:val="false"/>
          <w:sz w:val="20"/>
        </w:rPr>
        <w:t>”), then such Payment shall be equal to the Reduced Amount. The “</w:t>
      </w:r>
      <w:r>
        <w:rPr>
          <w:rFonts w:ascii="Times New Roman" w:hAnsi="Times New Roman"/>
          <w:b/>
          <w:i/>
          <w:caps w:val="false"/>
          <w:smallCaps w:val="false"/>
          <w:sz w:val="20"/>
        </w:rPr>
        <w:t>Reduced Amount</w:t>
      </w:r>
      <w:r>
        <w:rPr>
          <w:rFonts w:ascii="Times New Roman" w:hAnsi="Times New Roman"/>
          <w:caps w:val="false"/>
          <w:smallCaps w:val="false"/>
          <w:sz w:val="20"/>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the Participant’s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following order: reduction of cash payments; cancellation of accelerated vesting of Awards other than Options; cancellation of accelerated vesting of Options; and reduction of employee benefits. In the event that acceleration of vesting of an Award is to be reduced, such acceleration of vesting shall be cancelled in the reverse order of the date of grant of the Participant’s applicable type of Awards (</w:t>
      </w:r>
      <w:r>
        <w:rPr>
          <w:rFonts w:ascii="Times New Roman" w:hAnsi="Times New Roman"/>
          <w:i/>
          <w:caps w:val="false"/>
          <w:smallCaps w:val="false"/>
          <w:sz w:val="20"/>
        </w:rPr>
        <w:t>i.e.</w:t>
      </w:r>
      <w:r>
        <w:rPr>
          <w:rFonts w:ascii="Times New Roman" w:hAnsi="Times New Roman"/>
          <w:caps w:val="false"/>
          <w:smallCaps w:val="false"/>
          <w:sz w:val="20"/>
        </w:rPr>
        <w:t>, earliest granted Award cancelled last).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The accounting firm engaged by the Company for general audit purposes as of the day prior to the effective date of the Change in Control shall perform the foregoing calculations. If the accounting firm so engaged by the Company is serving as accountant or auditor for the individual, entity or group effecting the Change in Control, the Company shall appoint a nationally recognized accounting firm to make the determinations required hereunder. The Company shall bear all expenses with respect to the determinations by such accounting firm required to be made hereunder. The accounting firm engaged to make the determinations hereunder shall provide its calculations, together with detailed supporting documentation, to the Participant and the Company within fifteen (15) calendar days after the date on which the Participant’s right to a Payment is triggered (if requested at that time by the Participant or the Company) or such other time as requested by the Participant or the Company. If the accounting firm determines that no Excise Tax is payable with respect to a Payment, either before or after the application of the Reduced Amount, it shall furnish the Participant and the Company with an opinion that no Excise Tax will be imposed with respect to such Payment. Any good faith determinations of the accounting firm made hereunder shall be final, binding and conclusive upon the Participant and the Company.</w:t>
      </w:r>
    </w:p>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215"/>
        <w:gridCol w:w="1565"/>
      </w:tblGrid>
      <w:tr>
        <w:trPr/>
        <w:tc>
          <w:tcPr>
            <w:tcW w:w="21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7. </w:t>
            </w:r>
          </w:p>
        </w:tc>
        <w:tc>
          <w:tcPr>
            <w:tcW w:w="1565" w:type="dxa"/>
            <w:tcBorders/>
            <w:vAlign w:val="center"/>
          </w:tcPr>
          <w:p>
            <w:pPr>
              <w:pStyle w:val="TableContents"/>
              <w:bidi w:val="0"/>
              <w:spacing w:before="0" w:after="0"/>
              <w:ind w:left="0" w:right="0" w:hanging="0"/>
              <w:jc w:val="both"/>
              <w:rPr>
                <w:rFonts w:ascii="Times New Roman" w:hAnsi="Times New Roman"/>
                <w:b/>
                <w:smallCaps/>
                <w:sz w:val="20"/>
              </w:rPr>
            </w:pPr>
            <w:r>
              <w:rPr>
                <w:rFonts w:ascii="Times New Roman" w:hAnsi="Times New Roman"/>
                <w:b/>
                <w:smallCaps/>
                <w:sz w:val="20"/>
              </w:rPr>
              <w:t>Administration.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Administration by Board.</w:t>
      </w:r>
      <w:r>
        <w:rPr>
          <w:rFonts w:ascii="Times New Roman" w:hAnsi="Times New Roman"/>
          <w:caps w:val="false"/>
          <w:smallCaps w:val="false"/>
          <w:sz w:val="20"/>
        </w:rPr>
        <w:t xml:space="preserve"> The Board will administer the Plan unless and until the Board delegates administration of the Plan to a Committee or Committees, as provided in subsection (c)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Powers of Board.</w:t>
      </w:r>
      <w:r>
        <w:rPr>
          <w:rFonts w:ascii="Times New Roman" w:hAnsi="Times New Roman"/>
          <w:caps w:val="false"/>
          <w:smallCaps w:val="false"/>
          <w:sz w:val="20"/>
        </w:rPr>
        <w:t xml:space="preserve"> The Board will have the power, subject to, and within the limitations of, the express provisions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and (6) the Fair Market Value applicable to an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To settle all controversies regarding the Plan and Awards granted under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(iv)</w:t>
      </w:r>
      <w:r>
        <w:rPr>
          <w:rFonts w:ascii="Times New Roman" w:hAnsi="Times New Roman"/>
          <w:caps w:val="false"/>
          <w:smallCaps w:val="false"/>
          <w:sz w:val="20"/>
        </w:rPr>
        <w:t>    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(v)</w:t>
      </w:r>
      <w:r>
        <w:rPr>
          <w:rFonts w:ascii="Times New Roman" w:hAnsi="Times New Roman"/>
          <w:caps w:val="false"/>
          <w:smallCaps w:val="false"/>
          <w:sz w:val="20"/>
        </w:rPr>
        <w:t>    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(vi)</w:t>
      </w:r>
      <w:r>
        <w:rPr>
          <w:rFonts w:ascii="Times New Roman" w:hAnsi="Times New Roman"/>
          <w:caps w:val="false"/>
          <w:smallCaps w:val="false"/>
          <w:sz w:val="20"/>
        </w:rPr>
        <w:t>    To suspend or terminate the Plan at any time. Suspension or termination of the Plan will not Materially Impair rights and obligations under any Award granted while the Plan is in effect except with the written consent of the affected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(vii)</w:t>
      </w:r>
      <w:r>
        <w:rPr>
          <w:rFonts w:ascii="Times New Roman" w:hAnsi="Times New Roman"/>
          <w:caps w:val="false"/>
          <w:smallCaps w:val="false"/>
          <w:sz w:val="20"/>
        </w:rPr>
        <w:t>    To amend the Plan in any respect the Board deems necessary or advisable; provided, however</w:t>
      </w:r>
      <w:r>
        <w:rPr>
          <w:rFonts w:ascii="Times New Roman" w:hAnsi="Times New Roman"/>
          <w:i/>
          <w:caps w:val="false"/>
          <w:smallCaps w:val="false"/>
          <w:sz w:val="20"/>
        </w:rPr>
        <w:t>,</w:t>
      </w:r>
      <w:r>
        <w:rPr>
          <w:rFonts w:ascii="Times New Roman" w:hAnsi="Times New Roman"/>
          <w:caps w:val="false"/>
          <w:smallCaps w:val="false"/>
          <w:sz w:val="20"/>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(viii)</w:t>
      </w:r>
      <w:r>
        <w:rPr>
          <w:rFonts w:ascii="Times New Roman" w:hAnsi="Times New Roman"/>
          <w:caps w:val="false"/>
          <w:smallCaps w:val="false"/>
          <w:sz w:val="20"/>
        </w:rPr>
        <w:t>    To submit any amendment to the Plan for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(ix)</w:t>
      </w:r>
      <w:r>
        <w:rPr>
          <w:rFonts w:ascii="Times New Roman" w:hAnsi="Times New Roman"/>
          <w:caps w:val="false"/>
          <w:smallCaps w:val="false"/>
          <w:sz w:val="20"/>
        </w:rPr>
        <w:t xml:space="preserve">    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hAnsi="Times New Roman"/>
          <w:i/>
          <w:caps w:val="false"/>
          <w:smallCaps w:val="false"/>
          <w:sz w:val="20"/>
        </w:rPr>
        <w:t>provided however</w:t>
      </w:r>
      <w:r>
        <w:rPr>
          <w:rFonts w:ascii="Times New Roman" w:hAnsi="Times New Roman"/>
          <w:caps w:val="false"/>
          <w:smallCaps w:val="false"/>
          <w:sz w:val="20"/>
        </w:rPr>
        <w:t>, that, a Participant’s rights under any Award will not be Materially Impaired by any such amendment unless (1) the Company requests the consent of the affected Participant, and (2) such Participant consents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(x)</w:t>
      </w:r>
      <w:r>
        <w:rPr>
          <w:rFonts w:ascii="Times New Roman" w:hAnsi="Times New Roman"/>
          <w:caps w:val="false"/>
          <w:smallCaps w:val="false"/>
          <w:sz w:val="20"/>
        </w:rPr>
        <w:t>    Generally, to exercise such powers and to perform such acts as the Board deems necessary or expedient to promote the best interests of the Company and that are not in conflict with the provisions of the Plan or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(xi)</w:t>
      </w:r>
      <w:r>
        <w:rPr>
          <w:rFonts w:ascii="Times New Roman" w:hAnsi="Times New Roman"/>
          <w:caps w:val="false"/>
          <w:smallCaps w:val="false"/>
          <w:sz w:val="20"/>
        </w:rPr>
        <w:t>    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w:t>
      </w:r>
      <w:r>
        <w:rPr>
          <w:rFonts w:ascii="Times New Roman" w:hAnsi="Times New Roman"/>
          <w:b/>
          <w:caps w:val="false"/>
          <w:smallCaps w:val="false"/>
          <w:sz w:val="20"/>
        </w:rPr>
        <w:t>Delegation to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w:t>
      </w:r>
      <w:r>
        <w:rPr>
          <w:rFonts w:ascii="Times New Roman" w:hAnsi="Times New Roman"/>
          <w:b/>
          <w:caps w:val="false"/>
          <w:smallCaps w:val="false"/>
          <w:sz w:val="20"/>
        </w:rPr>
        <w:t>General.</w:t>
      </w:r>
      <w:r>
        <w:rPr>
          <w:rFonts w:ascii="Times New Roman" w:hAnsi="Times New Roman"/>
          <w:caps w:val="false"/>
          <w:smallCaps w:val="false"/>
          <w:sz w:val="20"/>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w:t>
      </w:r>
      <w:r>
        <w:rPr>
          <w:rFonts w:ascii="Times New Roman" w:hAnsi="Times New Roman"/>
          <w:b/>
          <w:caps w:val="false"/>
          <w:smallCaps w:val="false"/>
          <w:sz w:val="20"/>
        </w:rPr>
        <w:t>Rule 16b-3 Compliance.</w:t>
      </w:r>
      <w:r>
        <w:rPr>
          <w:rFonts w:ascii="Times New Roman" w:hAnsi="Times New Roman"/>
          <w:caps w:val="false"/>
          <w:smallCaps w:val="false"/>
          <w:sz w:val="20"/>
        </w:rPr>
        <w:t xml:space="preserv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w:t>
      </w:r>
      <w:r>
        <w:rPr>
          <w:rFonts w:ascii="Times New Roman" w:hAnsi="Times New Roman"/>
          <w:b/>
          <w:caps w:val="false"/>
          <w:smallCaps w:val="false"/>
          <w:sz w:val="20"/>
        </w:rPr>
        <w:t>Effect of Board</w:t>
      </w:r>
      <w:r>
        <w:rPr>
          <w:rFonts w:ascii="Times New Roman" w:hAnsi="Times New Roman"/>
          <w:caps w:val="false"/>
          <w:smallCaps w:val="false"/>
          <w:sz w:val="20"/>
        </w:rPr>
        <w:t>’</w:t>
      </w:r>
      <w:r>
        <w:rPr>
          <w:rFonts w:ascii="Times New Roman" w:hAnsi="Times New Roman"/>
          <w:b/>
          <w:caps w:val="false"/>
          <w:smallCaps w:val="false"/>
          <w:sz w:val="20"/>
        </w:rPr>
        <w:t>s Decision.</w:t>
      </w:r>
      <w:r>
        <w:rPr>
          <w:rFonts w:ascii="Times New Roman" w:hAnsi="Times New Roman"/>
          <w:caps w:val="false"/>
          <w:smallCaps w:val="false"/>
          <w:sz w:val="20"/>
        </w:rPr>
        <w:t xml:space="preserve"> All determinations, interpretations and constructions made by the Board or any Committee in good faith will not be subject to review by any person and will be final, binding and conclusive on all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(e)</w:t>
      </w:r>
      <w:r>
        <w:rPr>
          <w:rFonts w:ascii="Times New Roman" w:hAnsi="Times New Roman"/>
          <w:caps w:val="false"/>
          <w:smallCaps w:val="false"/>
          <w:sz w:val="20"/>
        </w:rPr>
        <w:t>    </w:t>
      </w:r>
      <w:r>
        <w:rPr>
          <w:rFonts w:ascii="Times New Roman" w:hAnsi="Times New Roman"/>
          <w:b/>
          <w:caps w:val="false"/>
          <w:smallCaps w:val="false"/>
          <w:sz w:val="20"/>
        </w:rPr>
        <w:t>Cancellation and Re-Grant of Awards</w:t>
      </w:r>
      <w:r>
        <w:rPr>
          <w:rFonts w:ascii="Times New Roman" w:hAnsi="Times New Roman"/>
          <w:caps w:val="false"/>
          <w:smallCaps w:val="false"/>
          <w:sz w:val="20"/>
        </w:rPr>
        <w:t>. Neither the Board nor any Committee will have the authority to: (i) reduce the exercise price or strike price of any outstanding Options or SARs under the Plan, or (ii) cancel any outstanding Options or SARs that have an exercise price or strike price greater than the current Fair Market Value in exchange for cash or other Awards under the Plan, unless the stockholders of the Company have approved such an action within twelve months prior to such an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(f)</w:t>
      </w:r>
      <w:r>
        <w:rPr>
          <w:rFonts w:ascii="Times New Roman" w:hAnsi="Times New Roman"/>
          <w:caps w:val="false"/>
          <w:smallCaps w:val="false"/>
          <w:sz w:val="20"/>
        </w:rPr>
        <w:t xml:space="preserve">     </w:t>
      </w:r>
      <w:r>
        <w:rPr>
          <w:rFonts w:ascii="Times New Roman" w:hAnsi="Times New Roman"/>
          <w:b/>
          <w:caps w:val="false"/>
          <w:smallCaps w:val="false"/>
          <w:sz w:val="20"/>
        </w:rPr>
        <w:t>Delegation to an Officer.</w:t>
      </w:r>
      <w:r>
        <w:rPr>
          <w:rFonts w:ascii="Times New Roman" w:hAnsi="Times New Roman"/>
          <w:caps w:val="false"/>
          <w:smallCaps w:val="false"/>
          <w:sz w:val="20"/>
        </w:rPr>
        <w:t xml:space="preserve"> The Board or any Committee may delegate to one or more Officers the authority to 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(g)</w:t>
      </w:r>
      <w:r>
        <w:rPr>
          <w:rFonts w:ascii="Times New Roman" w:hAnsi="Times New Roman"/>
          <w:caps w:val="false"/>
          <w:smallCaps w:val="false"/>
          <w:sz w:val="20"/>
        </w:rPr>
        <w:t>    M</w:t>
      </w:r>
      <w:r>
        <w:rPr>
          <w:rFonts w:ascii="Times New Roman" w:hAnsi="Times New Roman"/>
          <w:b/>
          <w:caps w:val="false"/>
          <w:smallCaps w:val="false"/>
          <w:sz w:val="20"/>
        </w:rPr>
        <w:t xml:space="preserve">inimum Vesting Requirements. </w:t>
      </w:r>
      <w:r>
        <w:rPr>
          <w:rFonts w:ascii="Times New Roman" w:hAnsi="Times New Roman"/>
          <w:caps w:val="false"/>
          <w:smallCaps w:val="false"/>
          <w:sz w:val="20"/>
        </w:rPr>
        <w:t>No Award may vest (or, if applicable, be exercisable) until at least 12 months following the date of grant of such Award; provided, however, that up to 5% of the Share Reserve (as defined in Section 2(a)) may be subject to Awards that do not meet such vesting (and, if applicable, exercisability)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960" w:type="dxa"/>
        <w:jc w:val="left"/>
        <w:tblInd w:w="0" w:type="dxa"/>
        <w:tblLayout w:type="fixed"/>
        <w:tblCellMar>
          <w:top w:w="0" w:type="dxa"/>
          <w:left w:w="0" w:type="dxa"/>
          <w:bottom w:w="0" w:type="dxa"/>
          <w:right w:w="0" w:type="dxa"/>
        </w:tblCellMar>
      </w:tblPr>
      <w:tblGrid>
        <w:gridCol w:w="215"/>
        <w:gridCol w:w="1745"/>
      </w:tblGrid>
      <w:tr>
        <w:trPr/>
        <w:tc>
          <w:tcPr>
            <w:tcW w:w="21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8. </w:t>
            </w:r>
          </w:p>
        </w:tc>
        <w:tc>
          <w:tcPr>
            <w:tcW w:w="1745" w:type="dxa"/>
            <w:tcBorders/>
            <w:vAlign w:val="center"/>
          </w:tcPr>
          <w:p>
            <w:pPr>
              <w:pStyle w:val="TableContents"/>
              <w:bidi w:val="0"/>
              <w:spacing w:before="0" w:after="0"/>
              <w:ind w:left="0" w:right="0" w:hanging="0"/>
              <w:jc w:val="both"/>
              <w:rPr>
                <w:rFonts w:ascii="Times New Roman" w:hAnsi="Times New Roman"/>
                <w:b/>
                <w:smallCaps/>
                <w:sz w:val="20"/>
              </w:rPr>
            </w:pPr>
            <w:r>
              <w:rPr>
                <w:rFonts w:ascii="Times New Roman" w:hAnsi="Times New Roman"/>
                <w:b/>
                <w:smallCaps/>
                <w:sz w:val="20"/>
              </w:rPr>
              <w:t>Tax Withholding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Withholding Authorization.</w:t>
      </w:r>
      <w:r>
        <w:rPr>
          <w:rFonts w:ascii="Times New Roman" w:hAnsi="Times New Roman"/>
          <w:caps w:val="false"/>
          <w:smallCaps w:val="false"/>
          <w:sz w:val="20"/>
        </w:rPr>
        <w:t xml:space="preserve"> As a condition to acceptance of any Award under the Plan, a Participant authorizes withholding from 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Satisfaction of Withholding Obligation.</w:t>
      </w:r>
      <w:r>
        <w:rPr>
          <w:rFonts w:ascii="Times New Roman" w:hAnsi="Times New Roman"/>
          <w:caps w:val="false"/>
          <w:smallCaps w:val="false"/>
          <w:sz w:val="20"/>
        </w:rPr>
        <w:t xml:space="preserve"> To the extent permitted by the terms of an Award Agreement, the 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w:t>
      </w:r>
      <w:r>
        <w:rPr>
          <w:rFonts w:ascii="Times New Roman" w:hAnsi="Times New Roman"/>
          <w:b/>
          <w:caps w:val="false"/>
          <w:smallCaps w:val="false"/>
          <w:sz w:val="20"/>
        </w:rPr>
        <w:t xml:space="preserve">No Obligation to Notify or Minimize Taxes; No Liability to Claims. </w:t>
      </w:r>
      <w:r>
        <w:rPr>
          <w:rFonts w:ascii="Times New Roman" w:hAnsi="Times New Roman"/>
          <w:caps w:val="false"/>
          <w:smallCaps w:val="false"/>
          <w:sz w:val="20"/>
        </w:rPr>
        <w:t>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to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w:t>
      </w:r>
      <w:r>
        <w:rPr>
          <w:rFonts w:ascii="Times New Roman" w:hAnsi="Times New Roman"/>
          <w:b/>
          <w:caps w:val="false"/>
          <w:smallCaps w:val="false"/>
          <w:sz w:val="20"/>
        </w:rPr>
        <w:t xml:space="preserve">Withholding Indemnification. </w:t>
      </w:r>
      <w:r>
        <w:rPr>
          <w:rFonts w:ascii="Times New Roman" w:hAnsi="Times New Roman"/>
          <w:caps w:val="false"/>
          <w:smallCaps w:val="false"/>
          <w:sz w:val="20"/>
        </w:rPr>
        <w:t>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pStyle w:val="TextBody"/>
        <w:bidi w:val="0"/>
        <w:spacing w:before="0" w:after="0"/>
        <w:ind w:left="0" w:right="0" w:hanging="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215"/>
        <w:gridCol w:w="1520"/>
      </w:tblGrid>
      <w:tr>
        <w:trPr/>
        <w:tc>
          <w:tcPr>
            <w:tcW w:w="21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9. </w:t>
            </w:r>
          </w:p>
        </w:tc>
        <w:tc>
          <w:tcPr>
            <w:tcW w:w="1520" w:type="dxa"/>
            <w:tcBorders/>
            <w:vAlign w:val="center"/>
          </w:tcPr>
          <w:p>
            <w:pPr>
              <w:pStyle w:val="TableContents"/>
              <w:bidi w:val="0"/>
              <w:spacing w:before="0" w:after="0"/>
              <w:ind w:left="0" w:right="0" w:hanging="0"/>
              <w:jc w:val="both"/>
              <w:rPr>
                <w:rFonts w:ascii="Times New Roman" w:hAnsi="Times New Roman"/>
                <w:b/>
                <w:smallCaps/>
                <w:sz w:val="20"/>
              </w:rPr>
            </w:pPr>
            <w:r>
              <w:rPr>
                <w:rFonts w:ascii="Times New Roman" w:hAnsi="Times New Roman"/>
                <w:b/>
                <w:smallCaps/>
                <w:sz w:val="20"/>
              </w:rPr>
              <w:t>Miscellaneous.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Source of Shares.</w:t>
      </w:r>
      <w:r>
        <w:rPr>
          <w:rFonts w:ascii="Times New Roman" w:hAnsi="Times New Roman"/>
          <w:caps w:val="false"/>
          <w:smallCaps w:val="false"/>
          <w:sz w:val="20"/>
        </w:rPr>
        <w:t xml:space="preserve"> The stock issuable under the Plan will be shares of authorized but unissued or reacquired Common Stock, including shares repurchased by the Company on the open market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 xml:space="preserve">Use of Proceeds from Sales of Common Stock. </w:t>
      </w:r>
      <w:r>
        <w:rPr>
          <w:rFonts w:ascii="Times New Roman" w:hAnsi="Times New Roman"/>
          <w:caps w:val="false"/>
          <w:smallCaps w:val="false"/>
          <w:sz w:val="20"/>
        </w:rPr>
        <w:t>Proceeds from the sale of shares of Common Stock pursuant to Awards will constitute general funds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w:t>
      </w:r>
      <w:r>
        <w:rPr>
          <w:rFonts w:ascii="Times New Roman" w:hAnsi="Times New Roman"/>
          <w:b/>
          <w:caps w:val="false"/>
          <w:smallCaps w:val="false"/>
          <w:sz w:val="20"/>
        </w:rPr>
        <w:t>Corporate Action Constituting Grant of Awards.</w:t>
      </w:r>
      <w:r>
        <w:rPr>
          <w:rFonts w:ascii="Times New Roman" w:hAnsi="Times New Roman"/>
          <w:caps w:val="false"/>
          <w:smallCaps w:val="false"/>
          <w:sz w:val="20"/>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w:t>
      </w:r>
      <w:r>
        <w:rPr>
          <w:rFonts w:ascii="Times New Roman" w:hAnsi="Times New Roman"/>
          <w:b/>
          <w:caps w:val="false"/>
          <w:smallCaps w:val="false"/>
          <w:sz w:val="20"/>
        </w:rPr>
        <w:t>Stockholder Rights.</w:t>
      </w:r>
      <w:r>
        <w:rPr>
          <w:rFonts w:ascii="Times New Roman" w:hAnsi="Times New Roman"/>
          <w:caps w:val="false"/>
          <w:smallCaps w:val="false"/>
          <w:sz w:val="20"/>
        </w:rPr>
        <w:t xml:space="preserve">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(e)</w:t>
      </w:r>
      <w:r>
        <w:rPr>
          <w:rFonts w:ascii="Times New Roman" w:hAnsi="Times New Roman"/>
          <w:caps w:val="false"/>
          <w:smallCaps w:val="false"/>
          <w:sz w:val="20"/>
        </w:rPr>
        <w:t>    </w:t>
      </w:r>
      <w:r>
        <w:rPr>
          <w:rFonts w:ascii="Times New Roman" w:hAnsi="Times New Roman"/>
          <w:b/>
          <w:caps w:val="false"/>
          <w:smallCaps w:val="false"/>
          <w:sz w:val="20"/>
        </w:rPr>
        <w:t>No Employment or Other Service Rights.</w:t>
      </w:r>
      <w:r>
        <w:rPr>
          <w:rFonts w:ascii="Times New Roman" w:hAnsi="Times New Roman"/>
          <w:caps w:val="false"/>
          <w:smallCaps w:val="false"/>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(f)</w:t>
      </w:r>
      <w:r>
        <w:rPr>
          <w:rFonts w:ascii="Times New Roman" w:hAnsi="Times New Roman"/>
          <w:caps w:val="false"/>
          <w:smallCaps w:val="false"/>
          <w:sz w:val="20"/>
        </w:rPr>
        <w:t>    </w:t>
      </w:r>
      <w:r>
        <w:rPr>
          <w:rFonts w:ascii="Times New Roman" w:hAnsi="Times New Roman"/>
          <w:b/>
          <w:caps w:val="false"/>
          <w:smallCaps w:val="false"/>
          <w:sz w:val="20"/>
        </w:rPr>
        <w:t>Change in Time Commitment</w:t>
      </w:r>
      <w:r>
        <w:rPr>
          <w:rFonts w:ascii="Times New Roman" w:hAnsi="Times New Roman"/>
          <w:caps w:val="false"/>
          <w:smallCaps w:val="false"/>
          <w:sz w:val="20"/>
        </w:rPr>
        <w: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(g)</w:t>
      </w:r>
      <w:r>
        <w:rPr>
          <w:rFonts w:ascii="Times New Roman" w:hAnsi="Times New Roman"/>
          <w:caps w:val="false"/>
          <w:smallCaps w:val="false"/>
          <w:sz w:val="20"/>
        </w:rPr>
        <w:t>    </w:t>
      </w:r>
      <w:r>
        <w:rPr>
          <w:rFonts w:ascii="Times New Roman" w:hAnsi="Times New Roman"/>
          <w:b/>
          <w:caps w:val="false"/>
          <w:smallCaps w:val="false"/>
          <w:sz w:val="20"/>
        </w:rPr>
        <w:t>Execution of Additional Documents.</w:t>
      </w:r>
      <w:r>
        <w:rPr>
          <w:rFonts w:ascii="Times New Roman" w:hAnsi="Times New Roman"/>
          <w:caps w:val="false"/>
          <w:smallCaps w:val="false"/>
          <w:sz w:val="20"/>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(h)</w:t>
      </w:r>
      <w:r>
        <w:rPr>
          <w:rFonts w:ascii="Times New Roman" w:hAnsi="Times New Roman"/>
          <w:caps w:val="false"/>
          <w:smallCaps w:val="false"/>
          <w:sz w:val="20"/>
        </w:rPr>
        <w:t>    </w:t>
      </w:r>
      <w:r>
        <w:rPr>
          <w:rFonts w:ascii="Times New Roman" w:hAnsi="Times New Roman"/>
          <w:b/>
          <w:caps w:val="false"/>
          <w:smallCaps w:val="false"/>
          <w:sz w:val="20"/>
        </w:rPr>
        <w:t>Electronic Delivery and Participation</w:t>
      </w:r>
      <w:r>
        <w:rPr>
          <w:rFonts w:ascii="Times New Roman" w:hAnsi="Times New Roman"/>
          <w:caps w:val="false"/>
          <w:smallCaps w:val="false"/>
          <w:sz w:val="20"/>
        </w:rPr>
        <w:t>.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w:t>
      </w:r>
      <w:r>
        <w:rPr>
          <w:rFonts w:ascii="Times New Roman" w:hAnsi="Times New Roman"/>
          <w:b/>
          <w:caps w:val="false"/>
          <w:smallCaps w:val="false"/>
          <w:sz w:val="20"/>
        </w:rPr>
        <w:t>Clawback/Recovery</w:t>
      </w:r>
      <w:r>
        <w:rPr>
          <w:rFonts w:ascii="Times New Roman" w:hAnsi="Times New Roman"/>
          <w:caps w:val="false"/>
          <w:smallCaps w:val="false"/>
          <w:sz w:val="20"/>
        </w:rPr>
        <w:t>.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(j)</w:t>
      </w:r>
      <w:r>
        <w:rPr>
          <w:rFonts w:ascii="Times New Roman" w:hAnsi="Times New Roman"/>
          <w:caps w:val="false"/>
          <w:smallCaps w:val="false"/>
          <w:sz w:val="20"/>
        </w:rPr>
        <w:t>    </w:t>
      </w:r>
      <w:r>
        <w:rPr>
          <w:rFonts w:ascii="Times New Roman" w:hAnsi="Times New Roman"/>
          <w:b/>
          <w:caps w:val="false"/>
          <w:smallCaps w:val="false"/>
          <w:sz w:val="20"/>
        </w:rPr>
        <w:t xml:space="preserve">Securities Law Compliance. </w:t>
      </w:r>
      <w:r>
        <w:rPr>
          <w:rFonts w:ascii="Times New Roman" w:hAnsi="Times New Roman"/>
          <w:caps w:val="false"/>
          <w:smallCaps w:val="false"/>
          <w:sz w:val="20"/>
        </w:rPr>
        <w:t>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(k)</w:t>
      </w:r>
      <w:r>
        <w:rPr>
          <w:rFonts w:ascii="Times New Roman" w:hAnsi="Times New Roman"/>
          <w:caps w:val="false"/>
          <w:smallCaps w:val="false"/>
          <w:sz w:val="20"/>
        </w:rPr>
        <w:t>    </w:t>
      </w:r>
      <w:r>
        <w:rPr>
          <w:rFonts w:ascii="Times New Roman" w:hAnsi="Times New Roman"/>
          <w:b/>
          <w:caps w:val="false"/>
          <w:smallCaps w:val="false"/>
          <w:sz w:val="20"/>
        </w:rPr>
        <w:t>Transfer or Assignment of Awards; Issued Shares.</w:t>
      </w:r>
      <w:r>
        <w:rPr>
          <w:rFonts w:ascii="Times New Roman" w:hAnsi="Times New Roman"/>
          <w:caps w:val="false"/>
          <w:smallCaps w:val="false"/>
          <w:sz w:val="20"/>
        </w:rPr>
        <w:t xml:space="preserve"> Except as expressly provided in the Plan or the form 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(l)</w:t>
      </w:r>
      <w:r>
        <w:rPr>
          <w:rFonts w:ascii="Times New Roman" w:hAnsi="Times New Roman"/>
          <w:caps w:val="false"/>
          <w:smallCaps w:val="false"/>
          <w:sz w:val="20"/>
        </w:rPr>
        <w:t>    </w:t>
      </w:r>
      <w:r>
        <w:rPr>
          <w:rFonts w:ascii="Times New Roman" w:hAnsi="Times New Roman"/>
          <w:b/>
          <w:caps w:val="false"/>
          <w:smallCaps w:val="false"/>
          <w:sz w:val="20"/>
        </w:rPr>
        <w:t xml:space="preserve">Effect on Other Employee Benefit Plans. </w:t>
      </w:r>
      <w:r>
        <w:rPr>
          <w:rFonts w:ascii="Times New Roman" w:hAnsi="Times New Roman"/>
          <w:caps w:val="false"/>
          <w:smallCaps w:val="false"/>
          <w:sz w:val="20"/>
        </w:rPr>
        <w:t>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(m)</w:t>
      </w:r>
      <w:r>
        <w:rPr>
          <w:rFonts w:ascii="Times New Roman" w:hAnsi="Times New Roman"/>
          <w:caps w:val="false"/>
          <w:smallCaps w:val="false"/>
          <w:sz w:val="20"/>
        </w:rPr>
        <w:t>    </w:t>
      </w:r>
      <w:r>
        <w:rPr>
          <w:rFonts w:ascii="Times New Roman" w:hAnsi="Times New Roman"/>
          <w:b/>
          <w:caps w:val="false"/>
          <w:smallCaps w:val="false"/>
          <w:sz w:val="20"/>
        </w:rPr>
        <w:t>Deferrals.</w:t>
      </w:r>
      <w:r>
        <w:rPr>
          <w:rFonts w:ascii="Times New Roman" w:hAnsi="Times New Roman"/>
          <w:caps w:val="false"/>
          <w:smallCaps w:val="false"/>
          <w:sz w:val="20"/>
        </w:rPr>
        <w:t xml:space="preserve">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(n)</w:t>
      </w:r>
      <w:r>
        <w:rPr>
          <w:rFonts w:ascii="Times New Roman" w:hAnsi="Times New Roman"/>
          <w:caps w:val="false"/>
          <w:smallCaps w:val="false"/>
          <w:sz w:val="20"/>
        </w:rPr>
        <w:t>    </w:t>
      </w:r>
      <w:r>
        <w:rPr>
          <w:rFonts w:ascii="Times New Roman" w:hAnsi="Times New Roman"/>
          <w:b/>
          <w:caps w:val="false"/>
          <w:smallCaps w:val="false"/>
          <w:sz w:val="20"/>
        </w:rPr>
        <w:t xml:space="preserve">Section 409A. </w:t>
      </w:r>
      <w:r>
        <w:rPr>
          <w:rFonts w:ascii="Times New Roman" w:hAnsi="Times New Roman"/>
          <w:caps w:val="false"/>
          <w:smallCaps w:val="false"/>
          <w:sz w:val="20"/>
        </w:rPr>
        <w:t>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(o)</w:t>
      </w:r>
      <w:r>
        <w:rPr>
          <w:rFonts w:ascii="Times New Roman" w:hAnsi="Times New Roman"/>
          <w:caps w:val="false"/>
          <w:smallCaps w:val="false"/>
          <w:sz w:val="20"/>
        </w:rPr>
        <w:t>    </w:t>
      </w:r>
      <w:r>
        <w:rPr>
          <w:rFonts w:ascii="Times New Roman" w:hAnsi="Times New Roman"/>
          <w:b/>
          <w:caps w:val="false"/>
          <w:smallCaps w:val="false"/>
          <w:sz w:val="20"/>
        </w:rPr>
        <w:t>Choice of Law.</w:t>
      </w:r>
      <w:r>
        <w:rPr>
          <w:rFonts w:ascii="Times New Roman" w:hAnsi="Times New Roman"/>
          <w:caps w:val="false"/>
          <w:smallCaps w:val="false"/>
          <w:sz w:val="20"/>
        </w:rPr>
        <w:t xml:space="preserve"> 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w:t>
      </w:r>
    </w:p>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320"/>
        <w:gridCol w:w="2720"/>
      </w:tblGrid>
      <w:tr>
        <w:trPr/>
        <w:tc>
          <w:tcPr>
            <w:tcW w:w="32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10. </w:t>
            </w:r>
          </w:p>
        </w:tc>
        <w:tc>
          <w:tcPr>
            <w:tcW w:w="2720" w:type="dxa"/>
            <w:tcBorders/>
            <w:vAlign w:val="center"/>
          </w:tcPr>
          <w:p>
            <w:pPr>
              <w:pStyle w:val="TableContents"/>
              <w:bidi w:val="0"/>
              <w:spacing w:before="0" w:after="0"/>
              <w:ind w:left="0" w:right="0" w:hanging="0"/>
              <w:jc w:val="both"/>
              <w:rPr>
                <w:rFonts w:ascii="Times New Roman" w:hAnsi="Times New Roman"/>
                <w:b/>
                <w:smallCaps/>
                <w:sz w:val="20"/>
              </w:rPr>
            </w:pPr>
            <w:r>
              <w:rPr>
                <w:rFonts w:ascii="Times New Roman" w:hAnsi="Times New Roman"/>
                <w:b/>
                <w:smallCaps/>
                <w:sz w:val="20"/>
              </w:rPr>
              <w:t>Covenants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Compliance with Law.</w:t>
      </w:r>
      <w:r>
        <w:rPr>
          <w:rFonts w:ascii="Times New Roman" w:hAnsi="Times New Roman"/>
          <w:caps w:val="false"/>
          <w:smallCaps w:val="false"/>
          <w:sz w:val="20"/>
        </w:rPr>
        <w:t xml:space="preserve"> 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320"/>
        <w:gridCol w:w="5315"/>
      </w:tblGrid>
      <w:tr>
        <w:trPr/>
        <w:tc>
          <w:tcPr>
            <w:tcW w:w="32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11. </w:t>
            </w:r>
          </w:p>
        </w:tc>
        <w:tc>
          <w:tcPr>
            <w:tcW w:w="5315" w:type="dxa"/>
            <w:tcBorders/>
            <w:vAlign w:val="center"/>
          </w:tcPr>
          <w:p>
            <w:pPr>
              <w:pStyle w:val="TableContents"/>
              <w:bidi w:val="0"/>
              <w:spacing w:before="0" w:after="0"/>
              <w:ind w:left="0" w:right="0" w:hanging="0"/>
              <w:jc w:val="both"/>
              <w:rPr>
                <w:rFonts w:ascii="Times New Roman" w:hAnsi="Times New Roman"/>
                <w:b/>
                <w:smallCaps/>
                <w:sz w:val="20"/>
              </w:rPr>
            </w:pPr>
            <w:r>
              <w:rPr>
                <w:rFonts w:ascii="Times New Roman" w:hAnsi="Times New Roman"/>
                <w:b/>
                <w:smallCaps/>
                <w:sz w:val="20"/>
              </w:rPr>
              <w:t>Additional Rules for Awards Subject to Section 409A.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 xml:space="preserve">Application. </w:t>
      </w:r>
      <w:r>
        <w:rPr>
          <w:rFonts w:ascii="Times New Roman" w:hAnsi="Times New Roman"/>
          <w:caps w:val="false"/>
          <w:smallCaps w:val="false"/>
          <w:sz w:val="20"/>
        </w:rPr>
        <w:t>Unless the provisions of this Section of the Plan are expressly superseded by the provisions in the form of Award Agreement, the provisions of this Section shall apply and shall supersede anything to the contrary set forth in the Award Agreement for a Non-Exempt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Non-Exempt Awards Subject to Non-Exempt Severance Arrangements.</w:t>
      </w:r>
      <w:r>
        <w:rPr>
          <w:rFonts w:ascii="Times New Roman" w:hAnsi="Times New Roman"/>
          <w:caps w:val="false"/>
          <w:smallCaps w:val="false"/>
          <w:sz w:val="20"/>
        </w:rPr>
        <w:t xml:space="preserve"> To the extent a Non-Exempt Award is subject to Section 409A due to application of a Non-Exempt Severance Arrangement, the following provisions of this subsection (b)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31st of the calendar year that includes the applicable vesting date, or (ii) the 60th day that follows the applicable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60th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w:t>
      </w:r>
      <w:r>
        <w:rPr>
          <w:rFonts w:ascii="Times New Roman" w:hAnsi="Times New Roman"/>
          <w:b/>
          <w:caps w:val="false"/>
          <w:smallCaps w:val="false"/>
          <w:sz w:val="20"/>
        </w:rPr>
        <w:t>Treatment of Non-Exempt Awards Upon a Corporate Transaction for Employees and Consultants.</w:t>
      </w:r>
      <w:r>
        <w:rPr>
          <w:rFonts w:ascii="Times New Roman" w:hAnsi="Times New Roman"/>
          <w:caps w:val="false"/>
          <w:smallCaps w:val="false"/>
          <w:sz w:val="20"/>
        </w:rPr>
        <w:t xml:space="preserve"> The provisions 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w:t>
      </w:r>
      <w:r>
        <w:rPr>
          <w:rFonts w:ascii="Times New Roman" w:hAnsi="Times New Roman"/>
          <w:b/>
          <w:caps w:val="false"/>
          <w:smallCaps w:val="false"/>
          <w:sz w:val="20"/>
        </w:rPr>
        <w:t>Vested Non-Exempt Awards.</w:t>
      </w:r>
      <w:r>
        <w:rPr>
          <w:rFonts w:ascii="Times New Roman" w:hAnsi="Times New Roman"/>
          <w:caps w:val="false"/>
          <w:smallCaps w:val="false"/>
          <w:sz w:val="20"/>
        </w:rPr>
        <w:t xml:space="preserve"> The following provisions shall apply to any Vested Non-Exempt Award in connection with a Corporate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1620"/>
        <w:jc w:val="both"/>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1620"/>
        <w:jc w:val="both"/>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w:t>
      </w:r>
      <w:r>
        <w:rPr>
          <w:rFonts w:ascii="Times New Roman" w:hAnsi="Times New Roman"/>
          <w:b/>
          <w:caps w:val="false"/>
          <w:smallCaps w:val="false"/>
          <w:sz w:val="20"/>
        </w:rPr>
        <w:t>Unvested Non-Exempt Awards.</w:t>
      </w:r>
      <w:r>
        <w:rPr>
          <w:rFonts w:ascii="Times New Roman" w:hAnsi="Times New Roman"/>
          <w:caps w:val="false"/>
          <w:smallCaps w:val="false"/>
          <w:sz w:val="20"/>
        </w:rPr>
        <w:t xml:space="preserve"> The following provisions shall apply to any Unvested Non-Exempt Award unless otherwise determined by the Board pursuant to subsection (e)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1620"/>
        <w:jc w:val="both"/>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1620"/>
        <w:jc w:val="both"/>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1620"/>
        <w:jc w:val="both"/>
        <w:rPr>
          <w:rFonts w:ascii="Times New Roman" w:hAnsi="Times New Roman"/>
          <w:caps w:val="false"/>
          <w:smallCaps w:val="false"/>
          <w:sz w:val="20"/>
        </w:rPr>
      </w:pPr>
      <w:r>
        <w:rPr>
          <w:rFonts w:ascii="Times New Roman" w:hAnsi="Times New Roman"/>
          <w:b/>
          <w:caps w:val="false"/>
          <w:smallCaps w:val="false"/>
          <w:sz w:val="20"/>
        </w:rPr>
        <w:t>(3)</w:t>
      </w:r>
      <w:r>
        <w:rPr>
          <w:rFonts w:ascii="Times New Roman" w:hAnsi="Times New Roman"/>
          <w:caps w:val="false"/>
          <w:smallCaps w:val="false"/>
          <w:sz w:val="20"/>
        </w:rPr>
        <w:t>    The foregoing treatment shall apply with respect to all Unvested Non-Exempt Awards upon any Corporate Transaction, and regardless of whether or not such Corporate Transaction is also a Section 409A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w:t>
      </w:r>
      <w:r>
        <w:rPr>
          <w:rFonts w:ascii="Times New Roman" w:hAnsi="Times New Roman"/>
          <w:b/>
          <w:caps w:val="false"/>
          <w:smallCaps w:val="false"/>
          <w:sz w:val="20"/>
        </w:rPr>
        <w:t>Treatment of Non-Exempt Awards Upon a Corporate Transaction for Non-Employee Directors.</w:t>
      </w:r>
      <w:r>
        <w:rPr>
          <w:rFonts w:ascii="Times New Roman" w:hAnsi="Times New Roman"/>
          <w:caps w:val="false"/>
          <w:smallCaps w:val="false"/>
          <w:sz w:val="20"/>
        </w:rPr>
        <w:t xml:space="preserve"> The following provisions of this subsection (d) shall apply and shall supersede anything to the contrary that may be set forth in the Plan with respect to the permitted treatment of a Non-Exempt Director Award in connection with a Corporate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(e)</w:t>
      </w:r>
      <w:r>
        <w:rPr>
          <w:rFonts w:ascii="Times New Roman" w:hAnsi="Times New Roman"/>
          <w:caps w:val="false"/>
          <w:smallCaps w:val="false"/>
          <w:sz w:val="20"/>
        </w:rPr>
        <w:t>    If the RSU Award is a Non-Exempt Award, then the provisions in this Section 11(e) shall apply and supersede anything to the contrary that may be set forth in the Plan or the Award Agreement with respect to the permitted treatment of such Non-Exempt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The Company explicitly reserves the right to earlier settle any Non-Exempt Award to the extent permitted and in compliance with the requirements of Section 409A, including pursuant to any of the exemptions available in Treasury Regulations Section 1.409A-3(j)(4)(ix).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(iv)</w:t>
      </w:r>
      <w:r>
        <w:rPr>
          <w:rFonts w:ascii="Times New Roman" w:hAnsi="Times New Roman"/>
          <w:caps w:val="false"/>
          <w:smallCaps w:val="false"/>
          <w:sz w:val="20"/>
        </w:rPr>
        <w:t>    The provisions in this subsection (e)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pStyle w:val="TextBody"/>
        <w:bidi w:val="0"/>
        <w:spacing w:before="0" w:after="0"/>
        <w:ind w:left="0" w:right="0" w:hanging="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320"/>
        <w:gridCol w:w="1340"/>
      </w:tblGrid>
      <w:tr>
        <w:trPr/>
        <w:tc>
          <w:tcPr>
            <w:tcW w:w="32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12. </w:t>
            </w:r>
          </w:p>
        </w:tc>
        <w:tc>
          <w:tcPr>
            <w:tcW w:w="1340" w:type="dxa"/>
            <w:tcBorders/>
            <w:vAlign w:val="center"/>
          </w:tcPr>
          <w:p>
            <w:pPr>
              <w:pStyle w:val="TableContents"/>
              <w:bidi w:val="0"/>
              <w:spacing w:before="0" w:after="0"/>
              <w:ind w:left="0" w:right="0" w:hanging="0"/>
              <w:jc w:val="both"/>
              <w:rPr>
                <w:rFonts w:ascii="Times New Roman" w:hAnsi="Times New Roman"/>
                <w:b/>
                <w:smallCaps/>
                <w:sz w:val="20"/>
              </w:rPr>
            </w:pPr>
            <w:r>
              <w:rPr>
                <w:rFonts w:ascii="Times New Roman" w:hAnsi="Times New Roman"/>
                <w:b/>
                <w:smallCaps/>
                <w:sz w:val="20"/>
              </w:rPr>
              <w:t xml:space="preserve">Severability.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800" w:type="dxa"/>
        <w:jc w:val="left"/>
        <w:tblInd w:w="0" w:type="dxa"/>
        <w:tblLayout w:type="fixed"/>
        <w:tblCellMar>
          <w:top w:w="0" w:type="dxa"/>
          <w:left w:w="0" w:type="dxa"/>
          <w:bottom w:w="0" w:type="dxa"/>
          <w:right w:w="0" w:type="dxa"/>
        </w:tblCellMar>
      </w:tblPr>
      <w:tblGrid>
        <w:gridCol w:w="320"/>
        <w:gridCol w:w="2480"/>
      </w:tblGrid>
      <w:tr>
        <w:trPr/>
        <w:tc>
          <w:tcPr>
            <w:tcW w:w="32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13. </w:t>
            </w:r>
          </w:p>
        </w:tc>
        <w:tc>
          <w:tcPr>
            <w:tcW w:w="2480" w:type="dxa"/>
            <w:tcBorders/>
            <w:vAlign w:val="center"/>
          </w:tcPr>
          <w:p>
            <w:pPr>
              <w:pStyle w:val="TableContents"/>
              <w:bidi w:val="0"/>
              <w:spacing w:before="0" w:after="0"/>
              <w:ind w:left="0" w:right="0" w:hanging="0"/>
              <w:jc w:val="both"/>
              <w:rPr>
                <w:rFonts w:ascii="Times New Roman" w:hAnsi="Times New Roman"/>
                <w:b/>
                <w:smallCaps/>
                <w:sz w:val="20"/>
              </w:rPr>
            </w:pPr>
            <w:r>
              <w:rPr>
                <w:rFonts w:ascii="Times New Roman" w:hAnsi="Times New Roman"/>
                <w:b/>
                <w:smallCaps/>
                <w:sz w:val="20"/>
              </w:rPr>
              <w:t>Termination of the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Board may suspend or terminate the Plan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No Incentive Stock Options may be granted after the tenth anniversary of the earlier of: (i) the Adoption Date, or (ii)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No Awards may be granted under the Plan while the Plan is suspended or after it is terminated.</w:t>
      </w:r>
    </w:p>
    <w:p>
      <w:pPr>
        <w:pStyle w:val="TextBody"/>
        <w:bidi w:val="0"/>
        <w:spacing w:before="0" w:after="0"/>
        <w:ind w:left="0" w:right="0" w:hanging="0"/>
        <w:jc w:val="left"/>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275"/>
        <w:gridCol w:w="1160"/>
      </w:tblGrid>
      <w:tr>
        <w:trPr/>
        <w:tc>
          <w:tcPr>
            <w:tcW w:w="27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14.</w:t>
            </w:r>
          </w:p>
        </w:tc>
        <w:tc>
          <w:tcPr>
            <w:tcW w:w="1160" w:type="dxa"/>
            <w:tcBorders/>
            <w:vAlign w:val="center"/>
          </w:tcPr>
          <w:p>
            <w:pPr>
              <w:pStyle w:val="TableContents"/>
              <w:bidi w:val="0"/>
              <w:spacing w:before="0" w:after="0"/>
              <w:ind w:left="0" w:right="0" w:hanging="0"/>
              <w:jc w:val="both"/>
              <w:rPr>
                <w:rFonts w:ascii="Times New Roman" w:hAnsi="Times New Roman"/>
                <w:b/>
                <w:smallCaps/>
                <w:sz w:val="20"/>
              </w:rPr>
            </w:pPr>
            <w:r>
              <w:rPr>
                <w:rFonts w:ascii="Times New Roman" w:hAnsi="Times New Roman"/>
                <w:b/>
                <w:smallCaps/>
                <w:sz w:val="20"/>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As used in the Plan, the following definitions apply to the capitalized terms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i/>
          <w:caps w:val="false"/>
          <w:smallCaps w:val="false"/>
          <w:sz w:val="20"/>
        </w:rPr>
        <w:t>Acquiring Entity</w:t>
      </w:r>
      <w:r>
        <w:rPr>
          <w:rFonts w:ascii="Times New Roman" w:hAnsi="Times New Roman"/>
          <w:caps w:val="false"/>
          <w:smallCaps w:val="false"/>
          <w:sz w:val="20"/>
        </w:rPr>
        <w:t>” means the surviving or acquiring corporation (or its parent company) in connection with a Corporate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i/>
          <w:caps w:val="false"/>
          <w:smallCaps w:val="false"/>
          <w:sz w:val="20"/>
        </w:rPr>
        <w:t>Adoption Date</w:t>
      </w:r>
      <w:r>
        <w:rPr>
          <w:rFonts w:ascii="Times New Roman" w:hAnsi="Times New Roman"/>
          <w:caps w:val="false"/>
          <w:smallCaps w:val="false"/>
          <w:sz w:val="20"/>
        </w:rPr>
        <w:t>” means the date the Plan is first approved by the Board or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w:t>
      </w:r>
      <w:r>
        <w:rPr>
          <w:rFonts w:ascii="Times New Roman" w:hAnsi="Times New Roman"/>
          <w:b/>
          <w:i/>
          <w:caps w:val="false"/>
          <w:smallCaps w:val="false"/>
          <w:sz w:val="20"/>
        </w:rPr>
        <w:t>Affiliate</w:t>
      </w:r>
      <w:r>
        <w:rPr>
          <w:rFonts w:ascii="Times New Roman" w:hAnsi="Times New Roman"/>
          <w:caps w:val="false"/>
          <w:smallCaps w:val="false"/>
          <w:sz w:val="20"/>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w:t>
      </w:r>
      <w:r>
        <w:rPr>
          <w:rFonts w:ascii="Times New Roman" w:hAnsi="Times New Roman"/>
          <w:b/>
          <w:i/>
          <w:caps w:val="false"/>
          <w:smallCaps w:val="false"/>
          <w:sz w:val="20"/>
        </w:rPr>
        <w:t>Applicable Law</w:t>
      </w:r>
      <w:r>
        <w:rPr>
          <w:rFonts w:ascii="Times New Roman" w:hAnsi="Times New Roman"/>
          <w:caps w:val="false"/>
          <w:smallCaps w:val="false"/>
          <w:sz w:val="20"/>
        </w:rPr>
        <w:t>” means any applicable securities, federal, state, foreign,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(e)</w:t>
      </w:r>
      <w:r>
        <w:rPr>
          <w:rFonts w:ascii="Times New Roman" w:hAnsi="Times New Roman"/>
          <w:caps w:val="false"/>
          <w:smallCaps w:val="false"/>
          <w:sz w:val="20"/>
        </w:rPr>
        <w:t>    “</w:t>
      </w:r>
      <w:r>
        <w:rPr>
          <w:rFonts w:ascii="Times New Roman" w:hAnsi="Times New Roman"/>
          <w:b/>
          <w:i/>
          <w:caps w:val="false"/>
          <w:smallCaps w:val="false"/>
          <w:sz w:val="20"/>
        </w:rPr>
        <w:t>Award</w:t>
      </w:r>
      <w:r>
        <w:rPr>
          <w:rFonts w:ascii="Times New Roman" w:hAnsi="Times New Roman"/>
          <w:caps w:val="false"/>
          <w:smallCaps w:val="false"/>
          <w:sz w:val="20"/>
        </w:rPr>
        <w:t>” means any right to receive Common Stock, cash or other property granted under the Plan (including an Incentive Stock Option, a Nonstatutory Stock Option, a Restricted Stock Award, a RSU Award, a SAR, a Performance Award or any Other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(f)</w:t>
      </w:r>
      <w:r>
        <w:rPr>
          <w:rFonts w:ascii="Times New Roman" w:hAnsi="Times New Roman"/>
          <w:caps w:val="false"/>
          <w:smallCaps w:val="false"/>
          <w:sz w:val="20"/>
        </w:rPr>
        <w:t>    “</w:t>
      </w:r>
      <w:r>
        <w:rPr>
          <w:rFonts w:ascii="Times New Roman" w:hAnsi="Times New Roman"/>
          <w:b/>
          <w:i/>
          <w:caps w:val="false"/>
          <w:smallCaps w:val="false"/>
          <w:sz w:val="20"/>
        </w:rPr>
        <w:t>Award Agreement</w:t>
      </w:r>
      <w:r>
        <w:rPr>
          <w:rFonts w:ascii="Times New Roman" w:hAnsi="Times New Roman"/>
          <w:caps w:val="false"/>
          <w:smallCaps w:val="false"/>
          <w:sz w:val="20"/>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(g)</w:t>
      </w:r>
      <w:r>
        <w:rPr>
          <w:rFonts w:ascii="Times New Roman" w:hAnsi="Times New Roman"/>
          <w:caps w:val="false"/>
          <w:smallCaps w:val="false"/>
          <w:sz w:val="20"/>
        </w:rPr>
        <w:t>    “</w:t>
      </w:r>
      <w:r>
        <w:rPr>
          <w:rFonts w:ascii="Times New Roman" w:hAnsi="Times New Roman"/>
          <w:b/>
          <w:i/>
          <w:caps w:val="false"/>
          <w:smallCaps w:val="false"/>
          <w:sz w:val="20"/>
        </w:rPr>
        <w:t>Board</w:t>
      </w:r>
      <w:r>
        <w:rPr>
          <w:rFonts w:ascii="Times New Roman" w:hAnsi="Times New Roman"/>
          <w:caps w:val="false"/>
          <w:smallCaps w:val="false"/>
          <w:sz w:val="20"/>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(h)</w:t>
      </w:r>
      <w:r>
        <w:rPr>
          <w:rFonts w:ascii="Times New Roman" w:hAnsi="Times New Roman"/>
          <w:caps w:val="false"/>
          <w:smallCaps w:val="false"/>
          <w:sz w:val="20"/>
        </w:rPr>
        <w:t>    “</w:t>
      </w:r>
      <w:r>
        <w:rPr>
          <w:rFonts w:ascii="Times New Roman" w:hAnsi="Times New Roman"/>
          <w:b/>
          <w:i/>
          <w:caps w:val="false"/>
          <w:smallCaps w:val="false"/>
          <w:sz w:val="20"/>
        </w:rPr>
        <w:t>Capitalization Adjustment</w:t>
      </w:r>
      <w:r>
        <w:rPr>
          <w:rFonts w:ascii="Times New Roman" w:hAnsi="Times New Roman"/>
          <w:caps w:val="false"/>
          <w:smallCaps w:val="false"/>
          <w:sz w:val="20"/>
        </w:rPr>
        <w:t>” 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w:t>
      </w:r>
      <w:r>
        <w:rPr>
          <w:rFonts w:ascii="Times New Roman" w:hAnsi="Times New Roman"/>
          <w:b/>
          <w:i/>
          <w:caps w:val="false"/>
          <w:smallCaps w:val="false"/>
          <w:sz w:val="20"/>
        </w:rPr>
        <w:t>Cause</w:t>
      </w:r>
      <w:r>
        <w:rPr>
          <w:rFonts w:ascii="Times New Roman" w:hAnsi="Times New Roman"/>
          <w:caps w:val="false"/>
          <w:smallCaps w:val="false"/>
          <w:sz w:val="20"/>
        </w:rPr>
        <w:t>” shall have the meaning ascribed to such term in any written agreement between the Participant and the Company defining such term and, in the absence of such agreement, such term shall mean, with respect to a Participant, the occurrence of any of the following events: (i) the Participant’s theft, dishonesty, willful misconduct, breach of fiduciary duty for personal profit, or falsification of any Company or Affiliate documents or records; (ii) the Participant’s material failure to abide by the code of conduct or other policies (including, without limitation, policies relating to confidentiality and reasonable workplace conduct) of the Company or an Affiliate; (iii) the Participant’s unauthorized use, misappropriation, destruction or diversion of any tangible or intangible asset or corporate opportunity of a the Company or an Affiliate (including, without limitation, the Participant’s improper use or disclosure of confidential or proprietary information of the Company or an Affiliate); (iv) any intentional act by the Participant which has a material detrimental effect on the reputation or business of the Company or an Affiliate; (v) the Participant’s repeated failure or inability to perform any reasonable assigned duties after written notice from the Company or an Affiliate, and a reasonable opportunity to cure, such failure or inability; (vi) any material breach by the Participant of any employment or service agreement between the Participant and the Company or an Affiliate,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The determination that a termination of the Participant’s Continuous Service is either for Cause or without Cause will be made by the Board with respect to Participants who are Officers of the Company and by the Company’s chief executive officer with respect to Participants who are not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(j)</w:t>
      </w:r>
      <w:r>
        <w:rPr>
          <w:rFonts w:ascii="Times New Roman" w:hAnsi="Times New Roman"/>
          <w:caps w:val="false"/>
          <w:smallCaps w:val="false"/>
          <w:sz w:val="20"/>
        </w:rPr>
        <w:t>    “</w:t>
      </w:r>
      <w:r>
        <w:rPr>
          <w:rFonts w:ascii="Times New Roman" w:hAnsi="Times New Roman"/>
          <w:b/>
          <w:i/>
          <w:caps w:val="false"/>
          <w:smallCaps w:val="false"/>
          <w:sz w:val="20"/>
        </w:rPr>
        <w:t>Change in Control</w:t>
      </w:r>
      <w:r>
        <w:rPr>
          <w:rFonts w:ascii="Times New Roman" w:hAnsi="Times New Roman"/>
          <w:caps w:val="false"/>
          <w:smallCaps w:val="false"/>
          <w:sz w:val="20"/>
        </w:rPr>
        <w:t>” or “</w:t>
      </w:r>
      <w:r>
        <w:rPr>
          <w:rFonts w:ascii="Times New Roman" w:hAnsi="Times New Roman"/>
          <w:b/>
          <w:i/>
          <w:caps w:val="false"/>
          <w:smallCaps w:val="false"/>
          <w:sz w:val="20"/>
        </w:rPr>
        <w:t>Change of Control</w:t>
      </w:r>
      <w:r>
        <w:rPr>
          <w:rFonts w:ascii="Times New Roman" w:hAnsi="Times New Roman"/>
          <w:caps w:val="false"/>
          <w:smallCaps w:val="false"/>
          <w:sz w:val="20"/>
        </w:rPr>
        <w:t>” means the occurrence, on or after the Effective Date, in a single transaction or in a series of related transactions, of any one or more of the following events; provided, however, to the extent necessary to avoid adverse personal income tax consequences to the Participant in connection with an Award, such event must also constitute a Section 409A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b/>
          <w:i/>
          <w:caps w:val="false"/>
          <w:smallCaps w:val="false"/>
          <w:sz w:val="20"/>
        </w:rPr>
        <w:t>Subject Person</w:t>
      </w:r>
      <w:r>
        <w:rPr>
          <w:rFonts w:ascii="Times New Roman" w:hAnsi="Times New Roman"/>
          <w:caps w:val="false"/>
          <w:smallCaps w:val="false"/>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the stockholders of the Company approve or the Board approves a plan of complete dissolution or liquidation of the Company, or a complete dissolution or liquidation of the Company shall otherwise occur, except for a liquidation into a parent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(iv)</w:t>
      </w:r>
      <w:r>
        <w:rPr>
          <w:rFonts w:ascii="Times New Roman" w:hAnsi="Times New Roman"/>
          <w:caps w:val="false"/>
          <w:smallCaps w:val="false"/>
          <w:sz w:val="20"/>
        </w:rPr>
        <w:t>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60" w:right="0" w:firstLine="1080"/>
        <w:jc w:val="both"/>
        <w:rPr>
          <w:rFonts w:ascii="Times New Roman" w:hAnsi="Times New Roman"/>
          <w:caps w:val="false"/>
          <w:smallCaps w:val="false"/>
          <w:sz w:val="20"/>
        </w:rPr>
      </w:pPr>
      <w:r>
        <w:rPr>
          <w:rFonts w:ascii="Times New Roman" w:hAnsi="Times New Roman"/>
          <w:b/>
          <w:caps w:val="false"/>
          <w:smallCaps w:val="false"/>
          <w:sz w:val="20"/>
        </w:rPr>
        <w:t>(v)</w:t>
      </w:r>
      <w:r>
        <w:rPr>
          <w:rFonts w:ascii="Times New Roman" w:hAnsi="Times New Roman"/>
          <w:caps w:val="false"/>
          <w:smallCaps w:val="false"/>
          <w:sz w:val="20"/>
        </w:rPr>
        <w:t>    individuals who, on the date the Plan is adopted by the Board, are members of the Board (the “</w:t>
      </w:r>
      <w:r>
        <w:rPr>
          <w:rFonts w:ascii="Times New Roman" w:hAnsi="Times New Roman"/>
          <w:b/>
          <w:i/>
          <w:caps w:val="false"/>
          <w:smallCaps w:val="false"/>
          <w:sz w:val="20"/>
        </w:rPr>
        <w:t>Incumbent Board</w:t>
      </w:r>
      <w:r>
        <w:rPr>
          <w:rFonts w:ascii="Times New Roman" w:hAnsi="Times New Roman"/>
          <w:caps w:val="false"/>
          <w:smallCaps w:val="false"/>
          <w:sz w:val="20"/>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(k)</w:t>
      </w:r>
      <w:r>
        <w:rPr>
          <w:rFonts w:ascii="Times New Roman" w:hAnsi="Times New Roman"/>
          <w:caps w:val="false"/>
          <w:smallCaps w:val="false"/>
          <w:sz w:val="20"/>
        </w:rPr>
        <w:t>    “</w:t>
      </w:r>
      <w:r>
        <w:rPr>
          <w:rFonts w:ascii="Times New Roman" w:hAnsi="Times New Roman"/>
          <w:b/>
          <w:i/>
          <w:caps w:val="false"/>
          <w:smallCaps w:val="false"/>
          <w:sz w:val="20"/>
        </w:rPr>
        <w:t>Code</w:t>
      </w:r>
      <w:r>
        <w:rPr>
          <w:rFonts w:ascii="Times New Roman" w:hAnsi="Times New Roman"/>
          <w:caps w:val="false"/>
          <w:smallCaps w:val="false"/>
          <w:sz w:val="20"/>
        </w:rPr>
        <w:t>” means the Internal Revenue Code of 1986, as amended, including any applicable regulations and guidance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(l)</w:t>
      </w:r>
      <w:r>
        <w:rPr>
          <w:rFonts w:ascii="Times New Roman" w:hAnsi="Times New Roman"/>
          <w:caps w:val="false"/>
          <w:smallCaps w:val="false"/>
          <w:sz w:val="20"/>
        </w:rPr>
        <w:t>    “</w:t>
      </w:r>
      <w:r>
        <w:rPr>
          <w:rFonts w:ascii="Times New Roman" w:hAnsi="Times New Roman"/>
          <w:b/>
          <w:i/>
          <w:caps w:val="false"/>
          <w:smallCaps w:val="false"/>
          <w:sz w:val="20"/>
        </w:rPr>
        <w:t>Committee</w:t>
      </w:r>
      <w:r>
        <w:rPr>
          <w:rFonts w:ascii="Times New Roman" w:hAnsi="Times New Roman"/>
          <w:caps w:val="false"/>
          <w:smallCaps w:val="false"/>
          <w:sz w:val="20"/>
        </w:rPr>
        <w:t>” means the Compensation Committee and any other committee of Directors to whom authority has been delegated by the Board or Compensation Committee in accordance with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(m)</w:t>
      </w:r>
      <w:r>
        <w:rPr>
          <w:rFonts w:ascii="Times New Roman" w:hAnsi="Times New Roman"/>
          <w:caps w:val="false"/>
          <w:smallCaps w:val="false"/>
          <w:sz w:val="20"/>
        </w:rPr>
        <w:t>    “</w:t>
      </w:r>
      <w:r>
        <w:rPr>
          <w:rFonts w:ascii="Times New Roman" w:hAnsi="Times New Roman"/>
          <w:b/>
          <w:i/>
          <w:caps w:val="false"/>
          <w:smallCaps w:val="false"/>
          <w:sz w:val="20"/>
        </w:rPr>
        <w:t>Common Stock</w:t>
      </w:r>
      <w:r>
        <w:rPr>
          <w:rFonts w:ascii="Times New Roman" w:hAnsi="Times New Roman"/>
          <w:caps w:val="false"/>
          <w:smallCaps w:val="false"/>
          <w:sz w:val="20"/>
        </w:rPr>
        <w:t>” means the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(n)</w:t>
      </w:r>
      <w:r>
        <w:rPr>
          <w:rFonts w:ascii="Times New Roman" w:hAnsi="Times New Roman"/>
          <w:caps w:val="false"/>
          <w:smallCaps w:val="false"/>
          <w:sz w:val="20"/>
        </w:rPr>
        <w:t>    “</w:t>
      </w:r>
      <w:r>
        <w:rPr>
          <w:rFonts w:ascii="Times New Roman" w:hAnsi="Times New Roman"/>
          <w:b/>
          <w:i/>
          <w:caps w:val="false"/>
          <w:smallCaps w:val="false"/>
          <w:sz w:val="20"/>
        </w:rPr>
        <w:t>Company</w:t>
      </w:r>
      <w:r>
        <w:rPr>
          <w:rFonts w:ascii="Times New Roman" w:hAnsi="Times New Roman"/>
          <w:caps w:val="false"/>
          <w:smallCaps w:val="false"/>
          <w:sz w:val="20"/>
        </w:rPr>
        <w:t>” means Talphera,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(o)</w:t>
      </w:r>
      <w:r>
        <w:rPr>
          <w:rFonts w:ascii="Times New Roman" w:hAnsi="Times New Roman"/>
          <w:caps w:val="false"/>
          <w:smallCaps w:val="false"/>
          <w:sz w:val="20"/>
        </w:rPr>
        <w:t>    “</w:t>
      </w:r>
      <w:r>
        <w:rPr>
          <w:rFonts w:ascii="Times New Roman" w:hAnsi="Times New Roman"/>
          <w:b/>
          <w:i/>
          <w:caps w:val="false"/>
          <w:smallCaps w:val="false"/>
          <w:sz w:val="20"/>
        </w:rPr>
        <w:t>Compensation Committee</w:t>
      </w:r>
      <w:r>
        <w:rPr>
          <w:rFonts w:ascii="Times New Roman" w:hAnsi="Times New Roman"/>
          <w:caps w:val="false"/>
          <w:smallCaps w:val="false"/>
          <w:sz w:val="20"/>
        </w:rPr>
        <w:t>” means the Compensation Committee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(p)</w:t>
      </w:r>
      <w:r>
        <w:rPr>
          <w:rFonts w:ascii="Times New Roman" w:hAnsi="Times New Roman"/>
          <w:caps w:val="false"/>
          <w:smallCaps w:val="false"/>
          <w:sz w:val="20"/>
        </w:rPr>
        <w:t>    “</w:t>
      </w:r>
      <w:r>
        <w:rPr>
          <w:rFonts w:ascii="Times New Roman" w:hAnsi="Times New Roman"/>
          <w:b/>
          <w:i/>
          <w:caps w:val="false"/>
          <w:smallCaps w:val="false"/>
          <w:sz w:val="20"/>
        </w:rPr>
        <w:t>Consultant</w:t>
      </w:r>
      <w:r>
        <w:rPr>
          <w:rFonts w:ascii="Times New Roman" w:hAnsi="Times New Roman"/>
          <w:caps w:val="false"/>
          <w:smallCaps w:val="false"/>
          <w:sz w:val="20"/>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(q)</w:t>
      </w:r>
      <w:r>
        <w:rPr>
          <w:rFonts w:ascii="Times New Roman" w:hAnsi="Times New Roman"/>
          <w:caps w:val="false"/>
          <w:smallCaps w:val="false"/>
          <w:sz w:val="20"/>
        </w:rPr>
        <w:t>    “</w:t>
      </w:r>
      <w:r>
        <w:rPr>
          <w:rFonts w:ascii="Times New Roman" w:hAnsi="Times New Roman"/>
          <w:b/>
          <w:i/>
          <w:caps w:val="false"/>
          <w:smallCaps w:val="false"/>
          <w:sz w:val="20"/>
        </w:rPr>
        <w:t>Continuous Service</w:t>
      </w:r>
      <w:r>
        <w:rPr>
          <w:rFonts w:ascii="Times New Roman" w:hAnsi="Times New Roman"/>
          <w:caps w:val="false"/>
          <w:smallCaps w:val="false"/>
          <w:sz w:val="20"/>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hAnsi="Times New Roman"/>
          <w:i/>
          <w:caps w:val="false"/>
          <w:smallCaps w:val="false"/>
          <w:sz w:val="20"/>
        </w:rPr>
        <w:t>,</w:t>
      </w:r>
      <w:r>
        <w:rPr>
          <w:rFonts w:ascii="Times New Roman" w:hAnsi="Times New Roman"/>
          <w:caps w:val="false"/>
          <w:smallCaps w:val="false"/>
          <w:sz w:val="20"/>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the Company or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(r)</w:t>
      </w:r>
      <w:r>
        <w:rPr>
          <w:rFonts w:ascii="Times New Roman" w:hAnsi="Times New Roman"/>
          <w:caps w:val="false"/>
          <w:smallCaps w:val="false"/>
          <w:sz w:val="20"/>
        </w:rPr>
        <w:t>    “</w:t>
      </w:r>
      <w:r>
        <w:rPr>
          <w:rFonts w:ascii="Times New Roman" w:hAnsi="Times New Roman"/>
          <w:b/>
          <w:i/>
          <w:caps w:val="false"/>
          <w:smallCaps w:val="false"/>
          <w:sz w:val="20"/>
        </w:rPr>
        <w:t>Corporate Transaction</w:t>
      </w:r>
      <w:r>
        <w:rPr>
          <w:rFonts w:ascii="Times New Roman" w:hAnsi="Times New Roman"/>
          <w:caps w:val="false"/>
          <w:smallCaps w:val="false"/>
          <w:sz w:val="20"/>
        </w:rPr>
        <w:t>” means the consummation, in a single transaction or in a series of related transactions, of any one or more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44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a sale or other disposition of all or substantially all, as determined by the Board, of the consolidated assets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44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a sale or other disposition of at least 50% of the outstanding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440"/>
        <w:jc w:val="both"/>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a merger, consolidation or similar transaction following which the Company is not the surviving corporation;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440"/>
        <w:jc w:val="both"/>
        <w:rPr>
          <w:rFonts w:ascii="Times New Roman" w:hAnsi="Times New Roman"/>
          <w:caps w:val="false"/>
          <w:smallCaps w:val="false"/>
          <w:sz w:val="20"/>
        </w:rPr>
      </w:pPr>
      <w:r>
        <w:rPr>
          <w:rFonts w:ascii="Times New Roman" w:hAnsi="Times New Roman"/>
          <w:b/>
          <w:caps w:val="false"/>
          <w:smallCaps w:val="false"/>
          <w:sz w:val="20"/>
        </w:rPr>
        <w:t>(iv)</w:t>
      </w:r>
      <w:r>
        <w:rPr>
          <w:rFonts w:ascii="Times New Roman" w:hAnsi="Times New Roman"/>
          <w:caps w:val="false"/>
          <w:smallCaps w:val="false"/>
          <w:sz w:val="20"/>
        </w:rPr>
        <w:t>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(s)</w:t>
      </w:r>
      <w:r>
        <w:rPr>
          <w:rFonts w:ascii="Times New Roman" w:hAnsi="Times New Roman"/>
          <w:caps w:val="false"/>
          <w:smallCaps w:val="false"/>
          <w:sz w:val="20"/>
        </w:rPr>
        <w:t>    “</w:t>
      </w:r>
      <w:r>
        <w:rPr>
          <w:rFonts w:ascii="Times New Roman" w:hAnsi="Times New Roman"/>
          <w:b/>
          <w:i/>
          <w:caps w:val="false"/>
          <w:smallCaps w:val="false"/>
          <w:sz w:val="20"/>
        </w:rPr>
        <w:t>Director</w:t>
      </w:r>
      <w:r>
        <w:rPr>
          <w:rFonts w:ascii="Times New Roman" w:hAnsi="Times New Roman"/>
          <w:caps w:val="false"/>
          <w:smallCaps w:val="false"/>
          <w:sz w:val="20"/>
        </w:rPr>
        <w:t>” means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(t)</w:t>
      </w:r>
      <w:r>
        <w:rPr>
          <w:rFonts w:ascii="Times New Roman" w:hAnsi="Times New Roman"/>
          <w:caps w:val="false"/>
          <w:smallCaps w:val="false"/>
          <w:sz w:val="20"/>
        </w:rPr>
        <w:t>    “</w:t>
      </w:r>
      <w:r>
        <w:rPr>
          <w:rFonts w:ascii="Times New Roman" w:hAnsi="Times New Roman"/>
          <w:b/>
          <w:i/>
          <w:caps w:val="false"/>
          <w:smallCaps w:val="false"/>
          <w:sz w:val="20"/>
        </w:rPr>
        <w:t>determine</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or </w:t>
      </w:r>
      <w:r>
        <w:rPr>
          <w:rFonts w:ascii="Times New Roman" w:hAnsi="Times New Roman"/>
          <w:caps w:val="false"/>
          <w:smallCaps w:val="false"/>
          <w:sz w:val="20"/>
        </w:rPr>
        <w:t>“</w:t>
      </w:r>
      <w:r>
        <w:rPr>
          <w:rFonts w:ascii="Times New Roman" w:hAnsi="Times New Roman"/>
          <w:b/>
          <w:i/>
          <w:caps w:val="false"/>
          <w:smallCaps w:val="false"/>
          <w:sz w:val="20"/>
        </w:rPr>
        <w:t>determined</w:t>
      </w:r>
      <w:r>
        <w:rPr>
          <w:rFonts w:ascii="Times New Roman" w:hAnsi="Times New Roman"/>
          <w:caps w:val="false"/>
          <w:smallCaps w:val="false"/>
          <w:sz w:val="20"/>
        </w:rPr>
        <w:t>” means as determined by the Board or the Committee (or its designee)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(u)</w:t>
      </w:r>
      <w:r>
        <w:rPr>
          <w:rFonts w:ascii="Times New Roman" w:hAnsi="Times New Roman"/>
          <w:caps w:val="false"/>
          <w:smallCaps w:val="false"/>
          <w:sz w:val="20"/>
        </w:rPr>
        <w:t>    “</w:t>
      </w:r>
      <w:r>
        <w:rPr>
          <w:rFonts w:ascii="Times New Roman" w:hAnsi="Times New Roman"/>
          <w:b/>
          <w:i/>
          <w:caps w:val="false"/>
          <w:smallCaps w:val="false"/>
          <w:sz w:val="20"/>
        </w:rPr>
        <w:t>Disability</w:t>
      </w:r>
      <w:r>
        <w:rPr>
          <w:rFonts w:ascii="Times New Roman" w:hAnsi="Times New Roman"/>
          <w:caps w:val="false"/>
          <w:smallCaps w:val="false"/>
          <w:sz w:val="20"/>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(v)</w:t>
      </w:r>
      <w:r>
        <w:rPr>
          <w:rFonts w:ascii="Times New Roman" w:hAnsi="Times New Roman"/>
          <w:caps w:val="false"/>
          <w:smallCaps w:val="false"/>
          <w:sz w:val="20"/>
        </w:rPr>
        <w:t>    “</w:t>
      </w:r>
      <w:r>
        <w:rPr>
          <w:rFonts w:ascii="Times New Roman" w:hAnsi="Times New Roman"/>
          <w:b/>
          <w:i/>
          <w:caps w:val="false"/>
          <w:smallCaps w:val="false"/>
          <w:sz w:val="20"/>
        </w:rPr>
        <w:t>Effective Date</w:t>
      </w:r>
      <w:r>
        <w:rPr>
          <w:rFonts w:ascii="Times New Roman" w:hAnsi="Times New Roman"/>
          <w:caps w:val="false"/>
          <w:smallCaps w:val="false"/>
          <w:sz w:val="20"/>
        </w:rPr>
        <w:t>” means the date of the annual meeting of stockholders of the Company held in 2020 provided this Plan is approved by the Company’s stockholders at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(w)</w:t>
      </w:r>
      <w:r>
        <w:rPr>
          <w:rFonts w:ascii="Times New Roman" w:hAnsi="Times New Roman"/>
          <w:caps w:val="false"/>
          <w:smallCaps w:val="false"/>
          <w:sz w:val="20"/>
        </w:rPr>
        <w:t>    “</w:t>
      </w:r>
      <w:r>
        <w:rPr>
          <w:rFonts w:ascii="Times New Roman" w:hAnsi="Times New Roman"/>
          <w:b/>
          <w:i/>
          <w:caps w:val="false"/>
          <w:smallCaps w:val="false"/>
          <w:sz w:val="20"/>
        </w:rPr>
        <w:t>Employee</w:t>
      </w:r>
      <w:r>
        <w:rPr>
          <w:rFonts w:ascii="Times New Roman" w:hAnsi="Times New Roman"/>
          <w:caps w:val="false"/>
          <w:smallCaps w:val="false"/>
          <w:sz w:val="20"/>
        </w:rPr>
        <w:t>” means any person employed by the Company or an Affiliate. However, service solely as a Director, or payment of a fee for such services, will not cause a Director to be considered an “Employee” for purposes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(x)</w:t>
      </w:r>
      <w:r>
        <w:rPr>
          <w:rFonts w:ascii="Times New Roman" w:hAnsi="Times New Roman"/>
          <w:caps w:val="false"/>
          <w:smallCaps w:val="false"/>
          <w:sz w:val="20"/>
        </w:rPr>
        <w:t>    “</w:t>
      </w:r>
      <w:r>
        <w:rPr>
          <w:rFonts w:ascii="Times New Roman" w:hAnsi="Times New Roman"/>
          <w:b/>
          <w:i/>
          <w:caps w:val="false"/>
          <w:smallCaps w:val="false"/>
          <w:sz w:val="20"/>
        </w:rPr>
        <w:t>Employer</w:t>
      </w:r>
      <w:r>
        <w:rPr>
          <w:rFonts w:ascii="Times New Roman" w:hAnsi="Times New Roman"/>
          <w:caps w:val="false"/>
          <w:smallCaps w:val="false"/>
          <w:sz w:val="20"/>
        </w:rPr>
        <w:t>” means the Company or the Affiliate of the Company that employs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(y)</w:t>
      </w:r>
      <w:r>
        <w:rPr>
          <w:rFonts w:ascii="Times New Roman" w:hAnsi="Times New Roman"/>
          <w:caps w:val="false"/>
          <w:smallCaps w:val="false"/>
          <w:sz w:val="20"/>
        </w:rPr>
        <w:t>    “</w:t>
      </w:r>
      <w:r>
        <w:rPr>
          <w:rFonts w:ascii="Times New Roman" w:hAnsi="Times New Roman"/>
          <w:b/>
          <w:i/>
          <w:caps w:val="false"/>
          <w:smallCaps w:val="false"/>
          <w:sz w:val="20"/>
        </w:rPr>
        <w:t>Entity</w:t>
      </w:r>
      <w:r>
        <w:rPr>
          <w:rFonts w:ascii="Times New Roman" w:hAnsi="Times New Roman"/>
          <w:caps w:val="false"/>
          <w:smallCaps w:val="false"/>
          <w:sz w:val="20"/>
        </w:rPr>
        <w:t>” means a corporation, partnership, limited liability company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(z)</w:t>
      </w:r>
      <w:r>
        <w:rPr>
          <w:rFonts w:ascii="Times New Roman" w:hAnsi="Times New Roman"/>
          <w:caps w:val="false"/>
          <w:smallCaps w:val="false"/>
          <w:sz w:val="20"/>
        </w:rPr>
        <w:t>    “</w:t>
      </w:r>
      <w:r>
        <w:rPr>
          <w:rFonts w:ascii="Times New Roman" w:hAnsi="Times New Roman"/>
          <w:b/>
          <w:i/>
          <w:caps w:val="false"/>
          <w:smallCaps w:val="false"/>
          <w:sz w:val="20"/>
        </w:rPr>
        <w:t>Exchange Act</w:t>
      </w:r>
      <w:r>
        <w:rPr>
          <w:rFonts w:ascii="Times New Roman" w:hAnsi="Times New Roman"/>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(aa)</w:t>
      </w:r>
      <w:r>
        <w:rPr>
          <w:rFonts w:ascii="Times New Roman" w:hAnsi="Times New Roman"/>
          <w:caps w:val="false"/>
          <w:smallCaps w:val="false"/>
          <w:sz w:val="20"/>
        </w:rPr>
        <w:t>    “</w:t>
      </w:r>
      <w:r>
        <w:rPr>
          <w:rFonts w:ascii="Times New Roman" w:hAnsi="Times New Roman"/>
          <w:b/>
          <w:i/>
          <w:caps w:val="false"/>
          <w:smallCaps w:val="false"/>
          <w:sz w:val="20"/>
        </w:rPr>
        <w:t>Exchange Act Person</w:t>
      </w:r>
      <w:r>
        <w:rPr>
          <w:rFonts w:ascii="Times New Roman" w:hAnsi="Times New Roman"/>
          <w:caps w:val="false"/>
          <w:smallCaps w:val="false"/>
          <w:sz w:val="20"/>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(bb)</w:t>
      </w:r>
      <w:r>
        <w:rPr>
          <w:rFonts w:ascii="Times New Roman" w:hAnsi="Times New Roman"/>
          <w:caps w:val="false"/>
          <w:smallCaps w:val="false"/>
          <w:sz w:val="20"/>
        </w:rPr>
        <w:t>    “</w:t>
      </w:r>
      <w:r>
        <w:rPr>
          <w:rFonts w:ascii="Times New Roman" w:hAnsi="Times New Roman"/>
          <w:b/>
          <w:i/>
          <w:caps w:val="false"/>
          <w:smallCaps w:val="false"/>
          <w:sz w:val="20"/>
        </w:rPr>
        <w:t>Fair Market Value</w:t>
      </w:r>
      <w:r>
        <w:rPr>
          <w:rFonts w:ascii="Times New Roman" w:hAnsi="Times New Roman"/>
          <w:caps w:val="false"/>
          <w:smallCaps w:val="false"/>
          <w:sz w:val="20"/>
        </w:rPr>
        <w:t>” means, as of any date, unless otherwise determined by the Board, the value of the Common Stock (as determined on a per share or aggregate basis, as applicable)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26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26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If there is no closing sales price for the Common Stock on the date of determination, then the Fair Market Value will be the closing selling price on the last preceding date for which such quotation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0" w:firstLine="1260"/>
        <w:jc w:val="both"/>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In the absence of such markets for the Common Stock, or if otherwise determined by the Board, the Fair Market Value will be determined by the Board in good faith and in a manner that complies with Sections 409A and 422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(cc)</w:t>
      </w:r>
      <w:r>
        <w:rPr>
          <w:rFonts w:ascii="Times New Roman" w:hAnsi="Times New Roman"/>
          <w:caps w:val="false"/>
          <w:smallCaps w:val="false"/>
          <w:sz w:val="20"/>
        </w:rPr>
        <w:t>    “</w:t>
      </w:r>
      <w:r>
        <w:rPr>
          <w:rFonts w:ascii="Times New Roman" w:hAnsi="Times New Roman"/>
          <w:b/>
          <w:i/>
          <w:caps w:val="false"/>
          <w:smallCaps w:val="false"/>
          <w:sz w:val="20"/>
        </w:rPr>
        <w:t>Governmental</w:t>
      </w:r>
      <w:r>
        <w:rPr>
          <w:rFonts w:ascii="Times New Roman" w:hAnsi="Times New Roman"/>
          <w:caps w:val="false"/>
          <w:smallCaps w:val="false"/>
          <w:sz w:val="20"/>
        </w:rPr>
        <w:t xml:space="preserve"> </w:t>
      </w:r>
      <w:r>
        <w:rPr>
          <w:rFonts w:ascii="Times New Roman" w:hAnsi="Times New Roman"/>
          <w:b/>
          <w:i/>
          <w:caps w:val="false"/>
          <w:smallCaps w:val="false"/>
          <w:sz w:val="20"/>
        </w:rPr>
        <w:t>Body</w:t>
      </w:r>
      <w:r>
        <w:rPr>
          <w:rFonts w:ascii="Times New Roman" w:hAnsi="Times New Roman"/>
          <w:caps w:val="false"/>
          <w:smallCaps w:val="false"/>
          <w:sz w:val="20"/>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(dd)</w:t>
      </w:r>
      <w:r>
        <w:rPr>
          <w:rFonts w:ascii="Times New Roman" w:hAnsi="Times New Roman"/>
          <w:caps w:val="false"/>
          <w:smallCaps w:val="false"/>
          <w:sz w:val="20"/>
        </w:rPr>
        <w:t>    “</w:t>
      </w:r>
      <w:r>
        <w:rPr>
          <w:rFonts w:ascii="Times New Roman" w:hAnsi="Times New Roman"/>
          <w:b/>
          <w:i/>
          <w:caps w:val="false"/>
          <w:smallCaps w:val="false"/>
          <w:sz w:val="20"/>
        </w:rPr>
        <w:t>Grant Notice</w:t>
      </w:r>
      <w:r>
        <w:rPr>
          <w:rFonts w:ascii="Times New Roman" w:hAnsi="Times New Roman"/>
          <w:caps w:val="false"/>
          <w:smallCaps w:val="false"/>
          <w:sz w:val="20"/>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(ee)</w:t>
      </w:r>
      <w:r>
        <w:rPr>
          <w:rFonts w:ascii="Times New Roman" w:hAnsi="Times New Roman"/>
          <w:caps w:val="false"/>
          <w:smallCaps w:val="false"/>
          <w:sz w:val="20"/>
        </w:rPr>
        <w:t>    “</w:t>
      </w:r>
      <w:r>
        <w:rPr>
          <w:rFonts w:ascii="Times New Roman" w:hAnsi="Times New Roman"/>
          <w:b/>
          <w:i/>
          <w:caps w:val="false"/>
          <w:smallCaps w:val="false"/>
          <w:sz w:val="20"/>
        </w:rPr>
        <w:t>Incentive Stock Option</w:t>
      </w:r>
      <w:r>
        <w:rPr>
          <w:rFonts w:ascii="Times New Roman" w:hAnsi="Times New Roman"/>
          <w:caps w:val="false"/>
          <w:smallCaps w:val="false"/>
          <w:sz w:val="20"/>
        </w:rPr>
        <w:t>” means an option granted pursuant to Section 4 of the Plan that is intended to be, and qualifies as, an “incentive stock option” within the meaning of Section 422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(ff)</w:t>
      </w:r>
      <w:r>
        <w:rPr>
          <w:rFonts w:ascii="Times New Roman" w:hAnsi="Times New Roman"/>
          <w:caps w:val="false"/>
          <w:smallCaps w:val="false"/>
          <w:sz w:val="20"/>
        </w:rPr>
        <w:t>    “</w:t>
      </w:r>
      <w:r>
        <w:rPr>
          <w:rFonts w:ascii="Times New Roman" w:hAnsi="Times New Roman"/>
          <w:b/>
          <w:i/>
          <w:caps w:val="false"/>
          <w:smallCaps w:val="false"/>
          <w:sz w:val="20"/>
        </w:rPr>
        <w:t>Materially Impair</w:t>
      </w:r>
      <w:r>
        <w:rPr>
          <w:rFonts w:ascii="Times New Roman" w:hAnsi="Times New Roman"/>
          <w:caps w:val="false"/>
          <w:smallCaps w:val="false"/>
          <w:sz w:val="20"/>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(gg)</w:t>
      </w:r>
      <w:r>
        <w:rPr>
          <w:rFonts w:ascii="Times New Roman" w:hAnsi="Times New Roman"/>
          <w:caps w:val="false"/>
          <w:smallCaps w:val="false"/>
          <w:sz w:val="20"/>
        </w:rPr>
        <w:t>    “</w:t>
      </w:r>
      <w:r>
        <w:rPr>
          <w:rFonts w:ascii="Times New Roman" w:hAnsi="Times New Roman"/>
          <w:b/>
          <w:i/>
          <w:caps w:val="false"/>
          <w:smallCaps w:val="false"/>
          <w:sz w:val="20"/>
        </w:rPr>
        <w:t>Non-Employee Director</w:t>
      </w:r>
      <w:r>
        <w:rPr>
          <w:rFonts w:ascii="Times New Roman" w:hAnsi="Times New Roman"/>
          <w:caps w:val="false"/>
          <w:smallCaps w:val="false"/>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caps w:val="false"/>
          <w:smallCaps w:val="false"/>
          <w:sz w:val="20"/>
        </w:rPr>
        <w:t>Regulation S-K</w:t>
      </w:r>
      <w:r>
        <w:rPr>
          <w:rFonts w:ascii="Times New Roman" w:hAnsi="Times New Roman"/>
          <w:caps w:val="false"/>
          <w:smallCaps w:val="false"/>
          <w:sz w:val="20"/>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(hh)</w:t>
      </w:r>
      <w:r>
        <w:rPr>
          <w:rFonts w:ascii="Times New Roman" w:hAnsi="Times New Roman"/>
          <w:caps w:val="false"/>
          <w:smallCaps w:val="false"/>
          <w:sz w:val="20"/>
        </w:rPr>
        <w:t>    “</w:t>
      </w:r>
      <w:r>
        <w:rPr>
          <w:rFonts w:ascii="Times New Roman" w:hAnsi="Times New Roman"/>
          <w:b/>
          <w:i/>
          <w:caps w:val="false"/>
          <w:smallCaps w:val="false"/>
          <w:sz w:val="20"/>
        </w:rPr>
        <w:t>Non-Exempt Award</w:t>
      </w:r>
      <w:r>
        <w:rPr>
          <w:rFonts w:ascii="Times New Roman" w:hAnsi="Times New Roman"/>
          <w:caps w:val="false"/>
          <w:smallCaps w:val="false"/>
          <w:sz w:val="20"/>
        </w:rPr>
        <w:t>” means any Award that is subject to, and not exempt from, Section 409A, including as the result of (i) a deferral of the issuance of the shares subject to the Award which is elected by the Participant or imposed by the Company, (ii) the terms of any Non-Exempt Severance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w:t>
      </w:r>
      <w:r>
        <w:rPr>
          <w:rFonts w:ascii="Times New Roman" w:hAnsi="Times New Roman"/>
          <w:b/>
          <w:i/>
          <w:caps w:val="false"/>
          <w:smallCaps w:val="false"/>
          <w:sz w:val="20"/>
        </w:rPr>
        <w:t>Non-Exempt Director Award</w:t>
      </w:r>
      <w:r>
        <w:rPr>
          <w:rFonts w:ascii="Times New Roman" w:hAnsi="Times New Roman"/>
          <w:caps w:val="false"/>
          <w:smallCaps w:val="false"/>
          <w:sz w:val="20"/>
        </w:rPr>
        <w:t>” means a Non-Exempt Award granted to a Participant who was a Director but not an Employee on the applicable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(jj)</w:t>
      </w:r>
      <w:r>
        <w:rPr>
          <w:rFonts w:ascii="Times New Roman" w:hAnsi="Times New Roman"/>
          <w:caps w:val="false"/>
          <w:smallCaps w:val="false"/>
          <w:sz w:val="20"/>
        </w:rPr>
        <w:t>    “</w:t>
      </w:r>
      <w:r>
        <w:rPr>
          <w:rFonts w:ascii="Times New Roman" w:hAnsi="Times New Roman"/>
          <w:b/>
          <w:i/>
          <w:caps w:val="false"/>
          <w:smallCaps w:val="false"/>
          <w:sz w:val="20"/>
        </w:rPr>
        <w:t>Non-Exempt Severance Arrangement</w:t>
      </w:r>
      <w:r>
        <w:rPr>
          <w:rFonts w:ascii="Times New Roman" w:hAnsi="Times New Roman"/>
          <w:caps w:val="false"/>
          <w:smallCaps w:val="false"/>
          <w:sz w:val="20"/>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hAnsi="Times New Roman"/>
          <w:b/>
          <w:i/>
          <w:caps w:val="false"/>
          <w:smallCaps w:val="false"/>
          <w:sz w:val="20"/>
        </w:rPr>
        <w:t>Separation from Service</w:t>
      </w:r>
      <w:r>
        <w:rPr>
          <w:rFonts w:ascii="Times New Roman" w:hAnsi="Times New Roman"/>
          <w:caps w:val="false"/>
          <w:smallCaps w:val="false"/>
          <w:sz w:val="20"/>
        </w:rPr>
        <w:t>”) and such severance benefit does not satisfy the requirements for an exemption from application of Section 409A provided under Treasury Regulations Section 1.409A-1(b)(4), 1.409A-1(b)(9)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(kk)</w:t>
      </w:r>
      <w:r>
        <w:rPr>
          <w:rFonts w:ascii="Times New Roman" w:hAnsi="Times New Roman"/>
          <w:caps w:val="false"/>
          <w:smallCaps w:val="false"/>
          <w:sz w:val="20"/>
        </w:rPr>
        <w:t>    “</w:t>
      </w:r>
      <w:r>
        <w:rPr>
          <w:rFonts w:ascii="Times New Roman" w:hAnsi="Times New Roman"/>
          <w:b/>
          <w:i/>
          <w:caps w:val="false"/>
          <w:smallCaps w:val="false"/>
          <w:sz w:val="20"/>
        </w:rPr>
        <w:t>Nonstatutory Stock Option</w:t>
      </w:r>
      <w:r>
        <w:rPr>
          <w:rFonts w:ascii="Times New Roman" w:hAnsi="Times New Roman"/>
          <w:caps w:val="false"/>
          <w:smallCaps w:val="false"/>
          <w:sz w:val="20"/>
        </w:rPr>
        <w:t>” means any option granted pursuant to Section 4 of the Plan that does not qualify as an Incentive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(ll)</w:t>
      </w:r>
      <w:r>
        <w:rPr>
          <w:rFonts w:ascii="Times New Roman" w:hAnsi="Times New Roman"/>
          <w:caps w:val="false"/>
          <w:smallCaps w:val="false"/>
          <w:sz w:val="20"/>
        </w:rPr>
        <w:t>    “</w:t>
      </w:r>
      <w:r>
        <w:rPr>
          <w:rFonts w:ascii="Times New Roman" w:hAnsi="Times New Roman"/>
          <w:b/>
          <w:i/>
          <w:caps w:val="false"/>
          <w:smallCaps w:val="false"/>
          <w:sz w:val="20"/>
        </w:rPr>
        <w:t>Officer</w:t>
      </w:r>
      <w:r>
        <w:rPr>
          <w:rFonts w:ascii="Times New Roman" w:hAnsi="Times New Roman"/>
          <w:caps w:val="false"/>
          <w:smallCaps w:val="false"/>
          <w:sz w:val="20"/>
        </w:rPr>
        <w:t>” means a person who is an officer of the Company within the meaning of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(mm)</w:t>
      </w:r>
      <w:r>
        <w:rPr>
          <w:rFonts w:ascii="Times New Roman" w:hAnsi="Times New Roman"/>
          <w:caps w:val="false"/>
          <w:smallCaps w:val="false"/>
          <w:sz w:val="20"/>
        </w:rPr>
        <w:t>    “</w:t>
      </w:r>
      <w:r>
        <w:rPr>
          <w:rFonts w:ascii="Times New Roman" w:hAnsi="Times New Roman"/>
          <w:b/>
          <w:i/>
          <w:caps w:val="false"/>
          <w:smallCaps w:val="false"/>
          <w:sz w:val="20"/>
        </w:rPr>
        <w:t>Option</w:t>
      </w:r>
      <w:r>
        <w:rPr>
          <w:rFonts w:ascii="Times New Roman" w:hAnsi="Times New Roman"/>
          <w:caps w:val="false"/>
          <w:smallCaps w:val="false"/>
          <w:sz w:val="20"/>
        </w:rPr>
        <w:t>” means an Incentive Stock Option or a Nonstatutory Stock Option to purchase shares of Common Stock granted pursuant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(nn)</w:t>
      </w:r>
      <w:r>
        <w:rPr>
          <w:rFonts w:ascii="Times New Roman" w:hAnsi="Times New Roman"/>
          <w:caps w:val="false"/>
          <w:smallCaps w:val="false"/>
          <w:sz w:val="20"/>
        </w:rPr>
        <w:t>    “</w:t>
      </w:r>
      <w:r>
        <w:rPr>
          <w:rFonts w:ascii="Times New Roman" w:hAnsi="Times New Roman"/>
          <w:b/>
          <w:i/>
          <w:caps w:val="false"/>
          <w:smallCaps w:val="false"/>
          <w:sz w:val="20"/>
        </w:rPr>
        <w:t>Option Agreement</w:t>
      </w:r>
      <w:r>
        <w:rPr>
          <w:rFonts w:ascii="Times New Roman" w:hAnsi="Times New Roman"/>
          <w:caps w:val="false"/>
          <w:smallCaps w:val="false"/>
          <w:sz w:val="20"/>
        </w:rPr>
        <w:t>” means a written agreement between the Company and the Optionholder evidencing the terms and conditions of the Option grant. The Option Agreement includes the Grant Notice for the Option grant and the agreement containing the written summary of the general terms and conditions applicable to the Option and which is provided to a Participant along with the Grant Notice. Each Option Agreement will be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(oo)</w:t>
      </w:r>
      <w:r>
        <w:rPr>
          <w:rFonts w:ascii="Times New Roman" w:hAnsi="Times New Roman"/>
          <w:caps w:val="false"/>
          <w:smallCaps w:val="false"/>
          <w:sz w:val="20"/>
        </w:rPr>
        <w:t>    “</w:t>
      </w:r>
      <w:r>
        <w:rPr>
          <w:rFonts w:ascii="Times New Roman" w:hAnsi="Times New Roman"/>
          <w:b/>
          <w:i/>
          <w:caps w:val="false"/>
          <w:smallCaps w:val="false"/>
          <w:sz w:val="20"/>
        </w:rPr>
        <w:t>Optionholder</w:t>
      </w:r>
      <w:r>
        <w:rPr>
          <w:rFonts w:ascii="Times New Roman" w:hAnsi="Times New Roman"/>
          <w:caps w:val="false"/>
          <w:smallCaps w:val="false"/>
          <w:sz w:val="20"/>
        </w:rPr>
        <w:t>” means a person to whom an Option is granted pursuant to the Plan or, if applicable, such other person who holds an outstanding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(pp)</w:t>
      </w:r>
      <w:r>
        <w:rPr>
          <w:rFonts w:ascii="Times New Roman" w:hAnsi="Times New Roman"/>
          <w:caps w:val="false"/>
          <w:smallCaps w:val="false"/>
          <w:sz w:val="20"/>
        </w:rPr>
        <w:t>    “</w:t>
      </w:r>
      <w:r>
        <w:rPr>
          <w:rFonts w:ascii="Times New Roman" w:hAnsi="Times New Roman"/>
          <w:b/>
          <w:i/>
          <w:caps w:val="false"/>
          <w:smallCaps w:val="false"/>
          <w:sz w:val="20"/>
        </w:rPr>
        <w:t>Other Award</w:t>
      </w:r>
      <w:r>
        <w:rPr>
          <w:rFonts w:ascii="Times New Roman" w:hAnsi="Times New Roman"/>
          <w:caps w:val="false"/>
          <w:smallCaps w:val="false"/>
          <w:sz w:val="20"/>
        </w:rPr>
        <w:t>” means an award based in whole or in part by reference to the Common Stock which is granted pursuant to the terms and conditions of Section 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(qq)</w:t>
      </w:r>
      <w:r>
        <w:rPr>
          <w:rFonts w:ascii="Times New Roman" w:hAnsi="Times New Roman"/>
          <w:caps w:val="false"/>
          <w:smallCaps w:val="false"/>
          <w:sz w:val="20"/>
        </w:rPr>
        <w:t>    “</w:t>
      </w:r>
      <w:r>
        <w:rPr>
          <w:rFonts w:ascii="Times New Roman" w:hAnsi="Times New Roman"/>
          <w:b/>
          <w:i/>
          <w:caps w:val="false"/>
          <w:smallCaps w:val="false"/>
          <w:sz w:val="20"/>
        </w:rPr>
        <w:t>Other Award Agreement</w:t>
      </w:r>
      <w:r>
        <w:rPr>
          <w:rFonts w:ascii="Times New Roman" w:hAnsi="Times New Roman"/>
          <w:caps w:val="false"/>
          <w:smallCaps w:val="false"/>
          <w:sz w:val="20"/>
        </w:rPr>
        <w:t>” means a written agreement between the Company and a holder of an Other Award evidencing the terms and conditions of an Other Award grant. The Other Award Agreement includes the Grant Notice for the Other Award grant and the agreement containing the written summary of the general terms and conditions applicable to the Other Award and which is provided to a Participant along with the Grant Notice. Each Other Award Agreement will be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(rr)</w:t>
      </w:r>
      <w:r>
        <w:rPr>
          <w:rFonts w:ascii="Times New Roman" w:hAnsi="Times New Roman"/>
          <w:caps w:val="false"/>
          <w:smallCaps w:val="false"/>
          <w:sz w:val="20"/>
        </w:rPr>
        <w:t>    “</w:t>
      </w:r>
      <w:r>
        <w:rPr>
          <w:rFonts w:ascii="Times New Roman" w:hAnsi="Times New Roman"/>
          <w:b/>
          <w:i/>
          <w:caps w:val="false"/>
          <w:smallCaps w:val="false"/>
          <w:sz w:val="20"/>
        </w:rPr>
        <w:t>Own,</w:t>
      </w:r>
      <w:r>
        <w:rPr>
          <w:rFonts w:ascii="Times New Roman" w:hAnsi="Times New Roman"/>
          <w:caps w:val="false"/>
          <w:smallCaps w:val="false"/>
          <w:sz w:val="20"/>
        </w:rPr>
        <w:t>” “</w:t>
      </w:r>
      <w:r>
        <w:rPr>
          <w:rFonts w:ascii="Times New Roman" w:hAnsi="Times New Roman"/>
          <w:b/>
          <w:i/>
          <w:caps w:val="false"/>
          <w:smallCaps w:val="false"/>
          <w:sz w:val="20"/>
        </w:rPr>
        <w:t>Owned,</w:t>
      </w:r>
      <w:r>
        <w:rPr>
          <w:rFonts w:ascii="Times New Roman" w:hAnsi="Times New Roman"/>
          <w:caps w:val="false"/>
          <w:smallCaps w:val="false"/>
          <w:sz w:val="20"/>
        </w:rPr>
        <w:t>” “</w:t>
      </w:r>
      <w:r>
        <w:rPr>
          <w:rFonts w:ascii="Times New Roman" w:hAnsi="Times New Roman"/>
          <w:b/>
          <w:i/>
          <w:caps w:val="false"/>
          <w:smallCaps w:val="false"/>
          <w:sz w:val="20"/>
        </w:rPr>
        <w:t>Owner,</w:t>
      </w:r>
      <w:r>
        <w:rPr>
          <w:rFonts w:ascii="Times New Roman" w:hAnsi="Times New Roman"/>
          <w:caps w:val="false"/>
          <w:smallCaps w:val="false"/>
          <w:sz w:val="20"/>
        </w:rPr>
        <w:t>” “</w:t>
      </w:r>
      <w:r>
        <w:rPr>
          <w:rFonts w:ascii="Times New Roman" w:hAnsi="Times New Roman"/>
          <w:b/>
          <w:i/>
          <w:caps w:val="false"/>
          <w:smallCaps w:val="false"/>
          <w:sz w:val="20"/>
        </w:rPr>
        <w:t>Ownership</w:t>
      </w:r>
      <w:r>
        <w:rPr>
          <w:rFonts w:ascii="Times New Roman" w:hAnsi="Times New Roman"/>
          <w:caps w:val="false"/>
          <w:smallCaps w:val="false"/>
          <w:sz w:val="20"/>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(ss)</w:t>
      </w:r>
      <w:r>
        <w:rPr>
          <w:rFonts w:ascii="Times New Roman" w:hAnsi="Times New Roman"/>
          <w:caps w:val="false"/>
          <w:smallCaps w:val="false"/>
          <w:sz w:val="20"/>
        </w:rPr>
        <w:t>    “</w:t>
      </w:r>
      <w:r>
        <w:rPr>
          <w:rFonts w:ascii="Times New Roman" w:hAnsi="Times New Roman"/>
          <w:b/>
          <w:i/>
          <w:caps w:val="false"/>
          <w:smallCaps w:val="false"/>
          <w:sz w:val="20"/>
        </w:rPr>
        <w:t>Participant</w:t>
      </w:r>
      <w:r>
        <w:rPr>
          <w:rFonts w:ascii="Times New Roman" w:hAnsi="Times New Roman"/>
          <w:caps w:val="false"/>
          <w:smallCaps w:val="false"/>
          <w:sz w:val="20"/>
        </w:rPr>
        <w:t>” means an Employee, Director or Consultant to whom an Award is granted pursuant to the Plan or, if applicable, such other person who holds an outstanding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(tt)</w:t>
      </w:r>
      <w:r>
        <w:rPr>
          <w:rFonts w:ascii="Times New Roman" w:hAnsi="Times New Roman"/>
          <w:caps w:val="false"/>
          <w:smallCaps w:val="false"/>
          <w:sz w:val="20"/>
        </w:rPr>
        <w:t>    “</w:t>
      </w:r>
      <w:r>
        <w:rPr>
          <w:rFonts w:ascii="Times New Roman" w:hAnsi="Times New Roman"/>
          <w:b/>
          <w:i/>
          <w:caps w:val="false"/>
          <w:smallCaps w:val="false"/>
          <w:sz w:val="20"/>
        </w:rPr>
        <w:t>Performance Award</w:t>
      </w:r>
      <w:r>
        <w:rPr>
          <w:rFonts w:ascii="Times New Roman" w:hAnsi="Times New Roman"/>
          <w:caps w:val="false"/>
          <w:smallCaps w:val="false"/>
          <w:sz w:val="20"/>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(uu)</w:t>
      </w:r>
      <w:r>
        <w:rPr>
          <w:rFonts w:ascii="Times New Roman" w:hAnsi="Times New Roman"/>
          <w:caps w:val="false"/>
          <w:smallCaps w:val="false"/>
          <w:sz w:val="20"/>
        </w:rPr>
        <w:t>    “</w:t>
      </w:r>
      <w:r>
        <w:rPr>
          <w:rFonts w:ascii="Times New Roman" w:hAnsi="Times New Roman"/>
          <w:b/>
          <w:i/>
          <w:caps w:val="false"/>
          <w:smallCaps w:val="false"/>
          <w:sz w:val="20"/>
        </w:rPr>
        <w:t>Performance Criteria</w:t>
      </w:r>
      <w:r>
        <w:rPr>
          <w:rFonts w:ascii="Times New Roman" w:hAnsi="Times New Roman"/>
          <w:caps w:val="false"/>
          <w:smallCaps w:val="false"/>
          <w:sz w:val="20"/>
        </w:rPr>
        <w:t>” means the one or more criteria that the Board shall select for purposes of establishing the Performance Goals for a Performance Period. The Performance Criteria that shall be used to establish such Performance Goals may be based on any one of, or combination of, the following as determined by the Board: (i) earnings (including earnings per share and net earnings); (ii) earnings before interest, taxes and depreciation; (iii) earnings before interest, taxes, depreciation and amortization; (iv) total stockholder return; (v) return on equity or average stockholder’s equity; (vi) return on assets, investment, or capital employed; (vii) stock price; (viii) margin (including gross margin); (ix) income (before or after taxes); (x) operating income; (xi) operating income after taxes; (xii) pre-tax profit; (xiii) operating cash flow; (xiv) sales or revenue targets; (xv) increases in revenue or product revenue; (xvi) expenses and cost reduction goals; (xvii) improvement in or attainment of working capital levels; (xviii) economic value added (or an equivalent metric); (xix) market share; (xx) cash flow; (xxi) cash flow per share; (xxii) share price performance; (xxiii) debt reduction; (xxiv) implementation or completion of projects or processes; (xxv) customer satisfaction; (xxvi) stockholders’ equity; (xxvii) capital expenditures; (xxviii) debt levels; (xxix) operating profit or net operating profit; (xxx) workforce diversity; (xxxi) growth of net income or operating income; (xxxii) billings; (xxxiii) product order and re-order rates; (xxxiv) number of formulary approval of products; (xxxv) cash balance; and (xxxvi) such other measures of performance selected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(vv)</w:t>
      </w:r>
      <w:r>
        <w:rPr>
          <w:rFonts w:ascii="Times New Roman" w:hAnsi="Times New Roman"/>
          <w:caps w:val="false"/>
          <w:smallCaps w:val="false"/>
          <w:sz w:val="20"/>
        </w:rPr>
        <w:t>     “</w:t>
      </w:r>
      <w:r>
        <w:rPr>
          <w:rFonts w:ascii="Times New Roman" w:hAnsi="Times New Roman"/>
          <w:b/>
          <w:i/>
          <w:caps w:val="false"/>
          <w:smallCaps w:val="false"/>
          <w:sz w:val="20"/>
        </w:rPr>
        <w:t>Performance Goals</w:t>
      </w:r>
      <w:r>
        <w:rPr>
          <w:rFonts w:ascii="Times New Roman" w:hAnsi="Times New Roman"/>
          <w:caps w:val="false"/>
          <w:smallCaps w:val="false"/>
          <w:sz w:val="20"/>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(ww)</w:t>
      </w:r>
      <w:r>
        <w:rPr>
          <w:rFonts w:ascii="Times New Roman" w:hAnsi="Times New Roman"/>
          <w:caps w:val="false"/>
          <w:smallCaps w:val="false"/>
          <w:sz w:val="20"/>
        </w:rPr>
        <w:t>    “</w:t>
      </w:r>
      <w:r>
        <w:rPr>
          <w:rFonts w:ascii="Times New Roman" w:hAnsi="Times New Roman"/>
          <w:b/>
          <w:i/>
          <w:caps w:val="false"/>
          <w:smallCaps w:val="false"/>
          <w:sz w:val="20"/>
        </w:rPr>
        <w:t>Performance Period</w:t>
      </w:r>
      <w:r>
        <w:rPr>
          <w:rFonts w:ascii="Times New Roman" w:hAnsi="Times New Roman"/>
          <w:caps w:val="false"/>
          <w:smallCaps w:val="false"/>
          <w:sz w:val="20"/>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(xx)</w:t>
      </w:r>
      <w:r>
        <w:rPr>
          <w:rFonts w:ascii="Times New Roman" w:hAnsi="Times New Roman"/>
          <w:caps w:val="false"/>
          <w:smallCaps w:val="false"/>
          <w:sz w:val="20"/>
        </w:rPr>
        <w:t>    “</w:t>
      </w:r>
      <w:r>
        <w:rPr>
          <w:rFonts w:ascii="Times New Roman" w:hAnsi="Times New Roman"/>
          <w:b/>
          <w:i/>
          <w:caps w:val="false"/>
          <w:smallCaps w:val="false"/>
          <w:sz w:val="20"/>
        </w:rPr>
        <w:t>Plan</w:t>
      </w:r>
      <w:r>
        <w:rPr>
          <w:rFonts w:ascii="Times New Roman" w:hAnsi="Times New Roman"/>
          <w:caps w:val="false"/>
          <w:smallCaps w:val="false"/>
          <w:sz w:val="20"/>
        </w:rPr>
        <w:t>” means this Talphera, Inc. Amended and Restated 2020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(yy)</w:t>
      </w:r>
      <w:r>
        <w:rPr>
          <w:rFonts w:ascii="Times New Roman" w:hAnsi="Times New Roman"/>
          <w:caps w:val="false"/>
          <w:smallCaps w:val="false"/>
          <w:sz w:val="20"/>
        </w:rPr>
        <w:t>    “</w:t>
      </w:r>
      <w:r>
        <w:rPr>
          <w:rFonts w:ascii="Times New Roman" w:hAnsi="Times New Roman"/>
          <w:b/>
          <w:i/>
          <w:caps w:val="false"/>
          <w:smallCaps w:val="false"/>
          <w:sz w:val="20"/>
        </w:rPr>
        <w:t>Plan Administrator</w:t>
      </w:r>
      <w:r>
        <w:rPr>
          <w:rFonts w:ascii="Times New Roman" w:hAnsi="Times New Roman"/>
          <w:caps w:val="false"/>
          <w:smallCaps w:val="false"/>
          <w:sz w:val="20"/>
        </w:rPr>
        <w:t>” means the person, persons, and/or third-party administrator designated by the Company to administer the day to day operations of the Plan and the Company’s other equity incentive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(zz)</w:t>
      </w:r>
      <w:r>
        <w:rPr>
          <w:rFonts w:ascii="Times New Roman" w:hAnsi="Times New Roman"/>
          <w:caps w:val="false"/>
          <w:smallCaps w:val="false"/>
          <w:sz w:val="20"/>
        </w:rPr>
        <w:t>    “</w:t>
      </w:r>
      <w:r>
        <w:rPr>
          <w:rFonts w:ascii="Times New Roman" w:hAnsi="Times New Roman"/>
          <w:b/>
          <w:i/>
          <w:caps w:val="false"/>
          <w:smallCaps w:val="false"/>
          <w:sz w:val="20"/>
        </w:rPr>
        <w:t>Post-Termination Exercise Period</w:t>
      </w:r>
      <w:r>
        <w:rPr>
          <w:rFonts w:ascii="Times New Roman" w:hAnsi="Times New Roman"/>
          <w:caps w:val="false"/>
          <w:smallCaps w:val="false"/>
          <w:sz w:val="20"/>
        </w:rPr>
        <w:t>” means the period following termination of a Participant’s Continuous Service within which an Option or SAR is exercisable, as specified in Section 4(h).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(aaa)</w:t>
      </w:r>
      <w:r>
        <w:rPr>
          <w:rFonts w:ascii="Times New Roman" w:hAnsi="Times New Roman"/>
          <w:caps w:val="false"/>
          <w:smallCaps w:val="false"/>
          <w:sz w:val="20"/>
        </w:rPr>
        <w:t>    “</w:t>
      </w:r>
      <w:r>
        <w:rPr>
          <w:rFonts w:ascii="Times New Roman" w:hAnsi="Times New Roman"/>
          <w:b/>
          <w:i/>
          <w:caps w:val="false"/>
          <w:smallCaps w:val="false"/>
          <w:sz w:val="20"/>
        </w:rPr>
        <w:t>Prior Plan</w:t>
      </w:r>
      <w:r>
        <w:rPr>
          <w:rFonts w:ascii="Times New Roman" w:hAnsi="Times New Roman"/>
          <w:caps w:val="false"/>
          <w:smallCaps w:val="false"/>
          <w:sz w:val="20"/>
        </w:rPr>
        <w:t>’</w:t>
      </w:r>
      <w:r>
        <w:rPr>
          <w:rFonts w:ascii="Times New Roman" w:hAnsi="Times New Roman"/>
          <w:b/>
          <w:i/>
          <w:caps w:val="false"/>
          <w:smallCaps w:val="false"/>
          <w:sz w:val="20"/>
        </w:rPr>
        <w:t>s Available Reserve</w:t>
      </w:r>
      <w:r>
        <w:rPr>
          <w:rFonts w:ascii="Times New Roman" w:hAnsi="Times New Roman"/>
          <w:caps w:val="false"/>
          <w:smallCaps w:val="false"/>
          <w:sz w:val="20"/>
        </w:rPr>
        <w:t>” means the number of shares available for the grant of new awards under the Prior Plan as of immediately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(bbb)</w:t>
      </w:r>
      <w:r>
        <w:rPr>
          <w:rFonts w:ascii="Times New Roman" w:hAnsi="Times New Roman"/>
          <w:caps w:val="false"/>
          <w:smallCaps w:val="false"/>
          <w:sz w:val="20"/>
        </w:rPr>
        <w:t>    “</w:t>
      </w:r>
      <w:r>
        <w:rPr>
          <w:rFonts w:ascii="Times New Roman" w:hAnsi="Times New Roman"/>
          <w:b/>
          <w:i/>
          <w:caps w:val="false"/>
          <w:smallCaps w:val="false"/>
          <w:sz w:val="20"/>
        </w:rPr>
        <w:t>Prior Plan</w:t>
      </w:r>
      <w:r>
        <w:rPr>
          <w:rFonts w:ascii="Times New Roman" w:hAnsi="Times New Roman"/>
          <w:caps w:val="false"/>
          <w:smallCaps w:val="false"/>
          <w:sz w:val="20"/>
        </w:rPr>
        <w:t>” means the Talphera, Inc. 2011 Equity Incentive Plan and the Talphera, Inc. 2006 Stock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(ccc)</w:t>
      </w:r>
      <w:r>
        <w:rPr>
          <w:rFonts w:ascii="Times New Roman" w:hAnsi="Times New Roman"/>
          <w:caps w:val="false"/>
          <w:smallCaps w:val="false"/>
          <w:sz w:val="20"/>
        </w:rPr>
        <w:t>    “</w:t>
      </w:r>
      <w:r>
        <w:rPr>
          <w:rFonts w:ascii="Times New Roman" w:hAnsi="Times New Roman"/>
          <w:b/>
          <w:i/>
          <w:caps w:val="false"/>
          <w:smallCaps w:val="false"/>
          <w:sz w:val="20"/>
        </w:rPr>
        <w:t>Prospectus</w:t>
      </w:r>
      <w:r>
        <w:rPr>
          <w:rFonts w:ascii="Times New Roman" w:hAnsi="Times New Roman"/>
          <w:caps w:val="false"/>
          <w:smallCaps w:val="false"/>
          <w:sz w:val="20"/>
        </w:rPr>
        <w:t>” means the document containing the Plan information specified in Section 10(a)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(ddd)</w:t>
      </w:r>
      <w:r>
        <w:rPr>
          <w:rFonts w:ascii="Times New Roman" w:hAnsi="Times New Roman"/>
          <w:caps w:val="false"/>
          <w:smallCaps w:val="false"/>
          <w:sz w:val="20"/>
        </w:rPr>
        <w:t>    “</w:t>
      </w:r>
      <w:r>
        <w:rPr>
          <w:rFonts w:ascii="Times New Roman" w:hAnsi="Times New Roman"/>
          <w:b/>
          <w:i/>
          <w:caps w:val="false"/>
          <w:smallCaps w:val="false"/>
          <w:sz w:val="20"/>
        </w:rPr>
        <w:t>Restricted Stock Award</w:t>
      </w:r>
      <w:r>
        <w:rPr>
          <w:rFonts w:ascii="Times New Roman" w:hAnsi="Times New Roman"/>
          <w:caps w:val="false"/>
          <w:smallCaps w:val="false"/>
          <w:sz w:val="20"/>
        </w:rPr>
        <w:t>” or “</w:t>
      </w:r>
      <w:r>
        <w:rPr>
          <w:rFonts w:ascii="Times New Roman" w:hAnsi="Times New Roman"/>
          <w:b/>
          <w:i/>
          <w:caps w:val="false"/>
          <w:smallCaps w:val="false"/>
          <w:sz w:val="20"/>
        </w:rPr>
        <w:t>RSA</w:t>
      </w:r>
      <w:r>
        <w:rPr>
          <w:rFonts w:ascii="Times New Roman" w:hAnsi="Times New Roman"/>
          <w:caps w:val="false"/>
          <w:smallCaps w:val="false"/>
          <w:sz w:val="20"/>
        </w:rPr>
        <w:t>” means an Award of shares of Common Stock which is granted pursuant to the terms and conditions of Section 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(eee)</w:t>
      </w:r>
      <w:r>
        <w:rPr>
          <w:rFonts w:ascii="Times New Roman" w:hAnsi="Times New Roman"/>
          <w:caps w:val="false"/>
          <w:smallCaps w:val="false"/>
          <w:sz w:val="20"/>
        </w:rPr>
        <w:t>    “</w:t>
      </w:r>
      <w:r>
        <w:rPr>
          <w:rFonts w:ascii="Times New Roman" w:hAnsi="Times New Roman"/>
          <w:b/>
          <w:i/>
          <w:caps w:val="false"/>
          <w:smallCaps w:val="false"/>
          <w:sz w:val="20"/>
        </w:rPr>
        <w:t>Restricted Stock Award Agreement</w:t>
      </w:r>
      <w:r>
        <w:rPr>
          <w:rFonts w:ascii="Times New Roman" w:hAnsi="Times New Roman"/>
          <w:caps w:val="false"/>
          <w:smallCaps w:val="false"/>
          <w:sz w:val="20"/>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(fff)</w:t>
      </w:r>
      <w:r>
        <w:rPr>
          <w:rFonts w:ascii="Times New Roman" w:hAnsi="Times New Roman"/>
          <w:caps w:val="false"/>
          <w:smallCaps w:val="false"/>
          <w:sz w:val="20"/>
        </w:rPr>
        <w:t>    “</w:t>
      </w:r>
      <w:r>
        <w:rPr>
          <w:rFonts w:ascii="Times New Roman" w:hAnsi="Times New Roman"/>
          <w:b/>
          <w:i/>
          <w:caps w:val="false"/>
          <w:smallCaps w:val="false"/>
          <w:sz w:val="20"/>
        </w:rPr>
        <w:t>Returning Shares</w:t>
      </w:r>
      <w:r>
        <w:rPr>
          <w:rFonts w:ascii="Times New Roman" w:hAnsi="Times New Roman"/>
          <w:caps w:val="false"/>
          <w:smallCaps w:val="false"/>
          <w:sz w:val="20"/>
        </w:rPr>
        <w:t>” means shares subject to outstanding stock awards granted under the Prior Plan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or (C)  are forfeited back to or repurchased by the Company because of the failure to meet a contingency or condition required for the vesting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(ggg)</w:t>
      </w:r>
      <w:r>
        <w:rPr>
          <w:rFonts w:ascii="Times New Roman" w:hAnsi="Times New Roman"/>
          <w:caps w:val="false"/>
          <w:smallCaps w:val="false"/>
          <w:sz w:val="20"/>
        </w:rPr>
        <w:t>    “</w:t>
      </w:r>
      <w:r>
        <w:rPr>
          <w:rFonts w:ascii="Times New Roman" w:hAnsi="Times New Roman"/>
          <w:b/>
          <w:i/>
          <w:caps w:val="false"/>
          <w:smallCaps w:val="false"/>
          <w:sz w:val="20"/>
        </w:rPr>
        <w:t>RSU Award</w:t>
      </w:r>
      <w:r>
        <w:rPr>
          <w:rFonts w:ascii="Times New Roman" w:hAnsi="Times New Roman"/>
          <w:caps w:val="false"/>
          <w:smallCaps w:val="false"/>
          <w:sz w:val="20"/>
        </w:rPr>
        <w:t>” or “</w:t>
      </w:r>
      <w:r>
        <w:rPr>
          <w:rFonts w:ascii="Times New Roman" w:hAnsi="Times New Roman"/>
          <w:b/>
          <w:i/>
          <w:caps w:val="false"/>
          <w:smallCaps w:val="false"/>
          <w:sz w:val="20"/>
        </w:rPr>
        <w:t>RSU</w:t>
      </w:r>
      <w:r>
        <w:rPr>
          <w:rFonts w:ascii="Times New Roman" w:hAnsi="Times New Roman"/>
          <w:caps w:val="false"/>
          <w:smallCaps w:val="false"/>
          <w:sz w:val="20"/>
        </w:rPr>
        <w:t>” means an Award of restricted stock units representing the right to receive shares of Common Stock which is granted pursuant to the terms and conditions of Section 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(hhh)</w:t>
      </w:r>
      <w:r>
        <w:rPr>
          <w:rFonts w:ascii="Times New Roman" w:hAnsi="Times New Roman"/>
          <w:caps w:val="false"/>
          <w:smallCaps w:val="false"/>
          <w:sz w:val="20"/>
        </w:rPr>
        <w:t>    “</w:t>
      </w:r>
      <w:r>
        <w:rPr>
          <w:rFonts w:ascii="Times New Roman" w:hAnsi="Times New Roman"/>
          <w:b/>
          <w:i/>
          <w:caps w:val="false"/>
          <w:smallCaps w:val="false"/>
          <w:sz w:val="20"/>
        </w:rPr>
        <w:t>RSU Award Agreement</w:t>
      </w:r>
      <w:r>
        <w:rPr>
          <w:rFonts w:ascii="Times New Roman" w:hAnsi="Times New Roman"/>
          <w:caps w:val="false"/>
          <w:smallCaps w:val="false"/>
          <w:sz w:val="20"/>
        </w:rPr>
        <w:t>” means a written agreement between the Company and a holder of a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w:t>
      </w:r>
      <w:r>
        <w:rPr>
          <w:rFonts w:ascii="Times New Roman" w:hAnsi="Times New Roman"/>
          <w:b/>
          <w:i/>
          <w:caps w:val="false"/>
          <w:smallCaps w:val="false"/>
          <w:sz w:val="20"/>
        </w:rPr>
        <w:t>Rule 16b-3</w:t>
      </w:r>
      <w:r>
        <w:rPr>
          <w:rFonts w:ascii="Times New Roman" w:hAnsi="Times New Roman"/>
          <w:caps w:val="false"/>
          <w:smallCaps w:val="false"/>
          <w:sz w:val="20"/>
        </w:rPr>
        <w:t>” means Rule 16b-3 promulgated under the Exchange Act or any successor to Rule 16b-3,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(jjj)</w:t>
      </w:r>
      <w:r>
        <w:rPr>
          <w:rFonts w:ascii="Times New Roman" w:hAnsi="Times New Roman"/>
          <w:caps w:val="false"/>
          <w:smallCaps w:val="false"/>
          <w:sz w:val="20"/>
        </w:rPr>
        <w:t>    “</w:t>
      </w:r>
      <w:r>
        <w:rPr>
          <w:rFonts w:ascii="Times New Roman" w:hAnsi="Times New Roman"/>
          <w:b/>
          <w:i/>
          <w:caps w:val="false"/>
          <w:smallCaps w:val="false"/>
          <w:sz w:val="20"/>
        </w:rPr>
        <w:t>Rule 405</w:t>
      </w:r>
      <w:r>
        <w:rPr>
          <w:rFonts w:ascii="Times New Roman" w:hAnsi="Times New Roman"/>
          <w:caps w:val="false"/>
          <w:smallCaps w:val="false"/>
          <w:sz w:val="20"/>
        </w:rPr>
        <w:t>” means Rule 405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(kkk)</w:t>
      </w:r>
      <w:r>
        <w:rPr>
          <w:rFonts w:ascii="Times New Roman" w:hAnsi="Times New Roman"/>
          <w:caps w:val="false"/>
          <w:smallCaps w:val="false"/>
          <w:sz w:val="20"/>
        </w:rPr>
        <w:t>    “</w:t>
      </w:r>
      <w:r>
        <w:rPr>
          <w:rFonts w:ascii="Times New Roman" w:hAnsi="Times New Roman"/>
          <w:b/>
          <w:i/>
          <w:caps w:val="false"/>
          <w:smallCaps w:val="false"/>
          <w:sz w:val="20"/>
        </w:rPr>
        <w:t>Section 409A</w:t>
      </w:r>
      <w:r>
        <w:rPr>
          <w:rFonts w:ascii="Times New Roman" w:hAnsi="Times New Roman"/>
          <w:caps w:val="false"/>
          <w:smallCaps w:val="false"/>
          <w:sz w:val="20"/>
        </w:rPr>
        <w:t>” means Section 409A of the Code and the regulations and other guidance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(lll)</w:t>
      </w:r>
      <w:r>
        <w:rPr>
          <w:rFonts w:ascii="Times New Roman" w:hAnsi="Times New Roman"/>
          <w:caps w:val="false"/>
          <w:smallCaps w:val="false"/>
          <w:sz w:val="20"/>
        </w:rPr>
        <w:t>    “</w:t>
      </w:r>
      <w:r>
        <w:rPr>
          <w:rFonts w:ascii="Times New Roman" w:hAnsi="Times New Roman"/>
          <w:b/>
          <w:i/>
          <w:caps w:val="false"/>
          <w:smallCaps w:val="false"/>
          <w:sz w:val="20"/>
        </w:rPr>
        <w:t>Section 409A Change in Control</w:t>
      </w:r>
      <w:r>
        <w:rPr>
          <w:rFonts w:ascii="Times New Roman" w:hAnsi="Times New Roman"/>
          <w:caps w:val="false"/>
          <w:smallCaps w:val="false"/>
          <w:sz w:val="20"/>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(mmm)</w:t>
      </w:r>
      <w:r>
        <w:rPr>
          <w:rFonts w:ascii="Times New Roman" w:hAnsi="Times New Roman"/>
          <w:caps w:val="false"/>
          <w:smallCaps w:val="false"/>
          <w:sz w:val="20"/>
        </w:rPr>
        <w:t>    “</w:t>
      </w:r>
      <w:r>
        <w:rPr>
          <w:rFonts w:ascii="Times New Roman" w:hAnsi="Times New Roman"/>
          <w:b/>
          <w:i/>
          <w:caps w:val="false"/>
          <w:smallCaps w:val="false"/>
          <w:sz w:val="20"/>
        </w:rPr>
        <w:t>Securities Act</w:t>
      </w:r>
      <w:r>
        <w:rPr>
          <w:rFonts w:ascii="Times New Roman" w:hAnsi="Times New Roman"/>
          <w:caps w:val="false"/>
          <w:smallCaps w:val="false"/>
          <w:sz w:val="20"/>
        </w:rPr>
        <w:t>” means the Securities Act of 1933, as amended and the regulations and other guidance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(nnn)</w:t>
      </w:r>
      <w:r>
        <w:rPr>
          <w:rFonts w:ascii="Times New Roman" w:hAnsi="Times New Roman"/>
          <w:caps w:val="false"/>
          <w:smallCaps w:val="false"/>
          <w:sz w:val="20"/>
        </w:rPr>
        <w:t>    “</w:t>
      </w:r>
      <w:r>
        <w:rPr>
          <w:rFonts w:ascii="Times New Roman" w:hAnsi="Times New Roman"/>
          <w:b/>
          <w:i/>
          <w:caps w:val="false"/>
          <w:smallCaps w:val="false"/>
          <w:sz w:val="20"/>
        </w:rPr>
        <w:t>Share Reserve</w:t>
      </w:r>
      <w:r>
        <w:rPr>
          <w:rFonts w:ascii="Times New Roman" w:hAnsi="Times New Roman"/>
          <w:caps w:val="false"/>
          <w:smallCaps w:val="false"/>
          <w:sz w:val="20"/>
        </w:rPr>
        <w:t>” means the number of shares available for issuance under the Plan as set forth in Section 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(ooo)</w:t>
      </w:r>
      <w:r>
        <w:rPr>
          <w:rFonts w:ascii="Times New Roman" w:hAnsi="Times New Roman"/>
          <w:caps w:val="false"/>
          <w:smallCaps w:val="false"/>
          <w:sz w:val="20"/>
        </w:rPr>
        <w:t>    “</w:t>
      </w:r>
      <w:r>
        <w:rPr>
          <w:rFonts w:ascii="Times New Roman" w:hAnsi="Times New Roman"/>
          <w:b/>
          <w:i/>
          <w:caps w:val="false"/>
          <w:smallCaps w:val="false"/>
          <w:sz w:val="20"/>
        </w:rPr>
        <w:t>Stock Appreciation Right</w:t>
      </w:r>
      <w:r>
        <w:rPr>
          <w:rFonts w:ascii="Times New Roman" w:hAnsi="Times New Roman"/>
          <w:caps w:val="false"/>
          <w:smallCaps w:val="false"/>
          <w:sz w:val="20"/>
        </w:rPr>
        <w:t>” or “</w:t>
      </w:r>
      <w:r>
        <w:rPr>
          <w:rFonts w:ascii="Times New Roman" w:hAnsi="Times New Roman"/>
          <w:b/>
          <w:i/>
          <w:caps w:val="false"/>
          <w:smallCaps w:val="false"/>
          <w:sz w:val="20"/>
        </w:rPr>
        <w:t>SAR</w:t>
      </w:r>
      <w:r>
        <w:rPr>
          <w:rFonts w:ascii="Times New Roman" w:hAnsi="Times New Roman"/>
          <w:caps w:val="false"/>
          <w:smallCaps w:val="false"/>
          <w:sz w:val="20"/>
        </w:rPr>
        <w:t>” means a right to receive the appreciation on Common Stock that is granted pursuant to the terms and conditions of Section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(ppp)</w:t>
      </w:r>
      <w:r>
        <w:rPr>
          <w:rFonts w:ascii="Times New Roman" w:hAnsi="Times New Roman"/>
          <w:caps w:val="false"/>
          <w:smallCaps w:val="false"/>
          <w:sz w:val="20"/>
        </w:rPr>
        <w:t>    “</w:t>
      </w:r>
      <w:r>
        <w:rPr>
          <w:rFonts w:ascii="Times New Roman" w:hAnsi="Times New Roman"/>
          <w:b/>
          <w:i/>
          <w:caps w:val="false"/>
          <w:smallCaps w:val="false"/>
          <w:sz w:val="20"/>
        </w:rPr>
        <w:t>SAR Agreement</w:t>
      </w:r>
      <w:r>
        <w:rPr>
          <w:rFonts w:ascii="Times New Roman" w:hAnsi="Times New Roman"/>
          <w:caps w:val="false"/>
          <w:smallCaps w:val="false"/>
          <w:sz w:val="20"/>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(qqq)</w:t>
      </w:r>
      <w:r>
        <w:rPr>
          <w:rFonts w:ascii="Times New Roman" w:hAnsi="Times New Roman"/>
          <w:caps w:val="false"/>
          <w:smallCaps w:val="false"/>
          <w:sz w:val="20"/>
        </w:rPr>
        <w:t>    “</w:t>
      </w:r>
      <w:r>
        <w:rPr>
          <w:rFonts w:ascii="Times New Roman" w:hAnsi="Times New Roman"/>
          <w:b/>
          <w:i/>
          <w:caps w:val="false"/>
          <w:smallCaps w:val="false"/>
          <w:sz w:val="20"/>
        </w:rPr>
        <w:t>Subsidiary</w:t>
      </w:r>
      <w:r>
        <w:rPr>
          <w:rFonts w:ascii="Times New Roman" w:hAnsi="Times New Roman"/>
          <w:caps w:val="false"/>
          <w:smallCaps w:val="false"/>
          <w:sz w:val="20"/>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(rrr)</w:t>
      </w:r>
      <w:r>
        <w:rPr>
          <w:rFonts w:ascii="Times New Roman" w:hAnsi="Times New Roman"/>
          <w:caps w:val="false"/>
          <w:smallCaps w:val="false"/>
          <w:sz w:val="20"/>
        </w:rPr>
        <w:t>    “</w:t>
      </w:r>
      <w:r>
        <w:rPr>
          <w:rFonts w:ascii="Times New Roman" w:hAnsi="Times New Roman"/>
          <w:b/>
          <w:i/>
          <w:caps w:val="false"/>
          <w:smallCaps w:val="false"/>
          <w:sz w:val="20"/>
        </w:rPr>
        <w:t>Ten Percent Stockholder</w:t>
      </w:r>
      <w:r>
        <w:rPr>
          <w:rFonts w:ascii="Times New Roman" w:hAnsi="Times New Roman"/>
          <w:caps w:val="false"/>
          <w:smallCaps w:val="false"/>
          <w:sz w:val="20"/>
        </w:rPr>
        <w:t>” means a person who Owns (or is deemed to Own pursuant to Section 424(d) of the Code) stock possessing more than 10% of the total combined voting power of all classes of stock of the Company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(sss)</w:t>
      </w:r>
      <w:r>
        <w:rPr>
          <w:rFonts w:ascii="Times New Roman" w:hAnsi="Times New Roman"/>
          <w:caps w:val="false"/>
          <w:smallCaps w:val="false"/>
          <w:sz w:val="20"/>
        </w:rPr>
        <w:t>    “</w:t>
      </w:r>
      <w:r>
        <w:rPr>
          <w:rFonts w:ascii="Times New Roman" w:hAnsi="Times New Roman"/>
          <w:b/>
          <w:i/>
          <w:caps w:val="false"/>
          <w:smallCaps w:val="false"/>
          <w:sz w:val="20"/>
        </w:rPr>
        <w:t>Trading Policy</w:t>
      </w:r>
      <w:r>
        <w:rPr>
          <w:rFonts w:ascii="Times New Roman" w:hAnsi="Times New Roman"/>
          <w:caps w:val="false"/>
          <w:smallCaps w:val="false"/>
          <w:sz w:val="20"/>
        </w:rPr>
        <w:t>” means the Company’s policy permitting certain individuals to sell Company shares only during certain “window” periods and/or otherwise restricts the ability of certain individuals to transfer or encumber Company shares,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(ttt)</w:t>
      </w:r>
      <w:r>
        <w:rPr>
          <w:rFonts w:ascii="Times New Roman" w:hAnsi="Times New Roman"/>
          <w:caps w:val="false"/>
          <w:smallCaps w:val="false"/>
          <w:sz w:val="20"/>
        </w:rPr>
        <w:t>    “</w:t>
      </w:r>
      <w:r>
        <w:rPr>
          <w:rFonts w:ascii="Times New Roman" w:hAnsi="Times New Roman"/>
          <w:b/>
          <w:i/>
          <w:caps w:val="false"/>
          <w:smallCaps w:val="false"/>
          <w:sz w:val="20"/>
        </w:rPr>
        <w:t>Unvested Non-Exempt Award</w:t>
      </w:r>
      <w:r>
        <w:rPr>
          <w:rFonts w:ascii="Times New Roman" w:hAnsi="Times New Roman"/>
          <w:caps w:val="false"/>
          <w:smallCaps w:val="false"/>
          <w:sz w:val="20"/>
        </w:rPr>
        <w:t>” means the portion of any Non-Exempt Award that had not vested in accordance with its terms upon or prior to the date of any Corporate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b/>
          <w:caps w:val="false"/>
          <w:smallCaps w:val="false"/>
          <w:sz w:val="20"/>
        </w:rPr>
        <w:t>(uuu)</w:t>
      </w:r>
      <w:r>
        <w:rPr>
          <w:rFonts w:ascii="Times New Roman" w:hAnsi="Times New Roman"/>
          <w:caps w:val="false"/>
          <w:smallCaps w:val="false"/>
          <w:sz w:val="20"/>
        </w:rPr>
        <w:t>    “</w:t>
      </w:r>
      <w:r>
        <w:rPr>
          <w:rFonts w:ascii="Times New Roman" w:hAnsi="Times New Roman"/>
          <w:b/>
          <w:i/>
          <w:caps w:val="false"/>
          <w:smallCaps w:val="false"/>
          <w:sz w:val="20"/>
        </w:rPr>
        <w:t>Vested Non-Exempt Award</w:t>
      </w:r>
      <w:r>
        <w:rPr>
          <w:rFonts w:ascii="Times New Roman" w:hAnsi="Times New Roman"/>
          <w:caps w:val="false"/>
          <w:smallCaps w:val="false"/>
          <w:sz w:val="20"/>
        </w:rPr>
        <w:t>” means the portion of any Non-Exempt Award that had vested in accordance with its terms upon or prior to the date of a Corporate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34</w:t>
      </w:r>
    </w:p>
    <w:p>
      <w:pPr>
        <w:pStyle w:val="TextBody"/>
        <w:bidi w:val="0"/>
        <w:spacing w:before="0" w:after="0"/>
        <w:ind w:left="0" w:right="0" w:hanging="0"/>
        <w:jc w:val="right"/>
        <w:rPr>
          <w:rFonts w:ascii="Times New Roman;Times;serif" w:hAnsi="Times New Roman;Times;serif"/>
          <w:b/>
          <w:sz w:val="20"/>
        </w:rPr>
      </w:pPr>
      <w:bookmarkStart w:id="4" w:name="ex_875419.htm"/>
      <w:bookmarkStart w:id="5" w:name="ksex_875419"/>
      <w:bookmarkEnd w:id="4"/>
      <w:bookmarkEnd w:id="5"/>
      <w:r>
        <w:rPr>
          <w:rFonts w:ascii="Times New Roman;Times;serif" w:hAnsi="Times New Roman;Times;serif"/>
          <w:b/>
          <w:sz w:val="20"/>
        </w:rPr>
        <w:t>Exhibit 10.2</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AMENDED AND RESTATED 2011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Adopted by the Board of Directors: January 5, 2011</w:t>
      </w:r>
      <w:r>
        <w:rPr>
          <w:rFonts w:ascii="Times New Roman" w:hAnsi="Times New Roman"/>
          <w:smallCaps/>
          <w:sz w:val="20"/>
        </w:rPr>
        <w:br/>
      </w:r>
      <w:r>
        <w:rPr>
          <w:rFonts w:ascii="Times New Roman" w:hAnsi="Times New Roman"/>
          <w:b/>
          <w:smallCaps/>
          <w:sz w:val="20"/>
        </w:rPr>
        <w:t>Approved by the Stockholders: January 19, 2011</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Amended and Restated by the Board of Directors: April 16, 2020</w:t>
      </w:r>
      <w:r>
        <w:rPr>
          <w:rFonts w:ascii="Times New Roman" w:hAnsi="Times New Roman"/>
          <w:smallCaps/>
          <w:sz w:val="20"/>
        </w:rPr>
        <w:br/>
      </w:r>
      <w:r>
        <w:rPr>
          <w:rFonts w:ascii="Times New Roman" w:hAnsi="Times New Roman"/>
          <w:b/>
          <w:smallCaps/>
          <w:sz w:val="20"/>
        </w:rPr>
        <w:t>Approved by the Stockholders: June 16, 2020</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Amended and Restated by the Board of Directors: April 19, 2024</w:t>
      </w:r>
      <w:r>
        <w:rPr>
          <w:rFonts w:ascii="Times New Roman" w:hAnsi="Times New Roman"/>
          <w:smallCaps/>
          <w:sz w:val="20"/>
        </w:rPr>
        <w:br/>
      </w:r>
      <w:r>
        <w:rPr>
          <w:rFonts w:ascii="Times New Roman" w:hAnsi="Times New Roman"/>
          <w:b/>
          <w:smallCaps/>
          <w:sz w:val="20"/>
        </w:rPr>
        <w:t>Approved by the Stockholders: June 24, 2024</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Amended and Restated by the Board of Directors: August 28, 2025</w:t>
      </w:r>
      <w:r>
        <w:rPr>
          <w:rFonts w:ascii="Times New Roman" w:hAnsi="Times New Roman"/>
          <w:smallCaps/>
          <w:sz w:val="20"/>
        </w:rPr>
        <w:br/>
      </w:r>
      <w:r>
        <w:rPr>
          <w:rFonts w:ascii="Times New Roman" w:hAnsi="Times New Roman"/>
          <w:b/>
          <w:smallCaps/>
          <w:sz w:val="20"/>
        </w:rPr>
        <w:t>Approved by the Stockholders: October 23,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Table of Contents</w:t>
      </w:r>
    </w:p>
    <w:p>
      <w:pPr>
        <w:pStyle w:val="TextBody"/>
        <w:bidi w:val="0"/>
        <w:spacing w:before="0" w:after="0"/>
        <w:ind w:left="0" w:right="0" w:hanging="0"/>
        <w:jc w:val="center"/>
        <w:rPr/>
      </w:pPr>
      <w:r>
        <w:rPr/>
        <w:t> </w:t>
      </w:r>
    </w:p>
    <w:tbl>
      <w:tblPr>
        <w:tblW w:w="6585" w:type="dxa"/>
        <w:jc w:val="left"/>
        <w:tblInd w:w="0" w:type="dxa"/>
        <w:tblLayout w:type="fixed"/>
        <w:tblCellMar>
          <w:top w:w="0" w:type="dxa"/>
          <w:left w:w="0" w:type="dxa"/>
          <w:bottom w:w="0" w:type="dxa"/>
          <w:right w:w="0" w:type="dxa"/>
        </w:tblCellMar>
      </w:tblPr>
      <w:tblGrid>
        <w:gridCol w:w="290"/>
        <w:gridCol w:w="5840"/>
        <w:gridCol w:w="455"/>
      </w:tblGrid>
      <w:tr>
        <w:trPr/>
        <w:tc>
          <w:tcPr>
            <w:tcW w:w="29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w:t>
            </w:r>
          </w:p>
        </w:tc>
      </w:tr>
      <w:tr>
        <w:trPr/>
        <w:tc>
          <w:tcPr>
            <w:tcW w:w="29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290"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5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Administration.</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290"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5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of Common Stock Subject to the Plan.</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r>
      <w:tr>
        <w:trPr/>
        <w:tc>
          <w:tcPr>
            <w:tcW w:w="290"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5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 of Purchase Rights; Offering.</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r>
      <w:tr>
        <w:trPr/>
        <w:tc>
          <w:tcPr>
            <w:tcW w:w="290"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5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Eligibility.</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r>
      <w:tr>
        <w:trPr/>
        <w:tc>
          <w:tcPr>
            <w:tcW w:w="290"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5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Rights; Purchase Price.</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r>
      <w:tr>
        <w:trPr/>
        <w:tc>
          <w:tcPr>
            <w:tcW w:w="290"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5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Participation; Withdrawal; Termination.</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r>
      <w:tr>
        <w:trPr/>
        <w:tc>
          <w:tcPr>
            <w:tcW w:w="290"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5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of Purchase Rights.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r>
      <w:tr>
        <w:trPr/>
        <w:tc>
          <w:tcPr>
            <w:tcW w:w="290"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5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Covenants of the company.</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r>
      <w:tr>
        <w:trPr/>
        <w:tc>
          <w:tcPr>
            <w:tcW w:w="290"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5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Designation of Beneficiary.</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r>
      <w:tr>
        <w:trPr/>
        <w:tc>
          <w:tcPr>
            <w:tcW w:w="290"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5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Upon Changes in Common Stock; Corporate Transactions.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r>
      <w:tr>
        <w:trPr/>
        <w:tc>
          <w:tcPr>
            <w:tcW w:w="290"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5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Amendment, Termination or Suspension of the Plan.</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r>
      <w:tr>
        <w:trPr/>
        <w:tc>
          <w:tcPr>
            <w:tcW w:w="290"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5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Date of Plan.</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r>
      <w:tr>
        <w:trPr/>
        <w:tc>
          <w:tcPr>
            <w:tcW w:w="290"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c>
          <w:tcPr>
            <w:tcW w:w="5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Miscellaneous Provisions.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r>
      <w:tr>
        <w:trPr/>
        <w:tc>
          <w:tcPr>
            <w:tcW w:w="290" w:type="dxa"/>
            <w:tcBorders/>
            <w:shd w:fill="FFFFFF" w:val="clear"/>
            <w:vAlign w:val="center"/>
          </w:tcPr>
          <w:p>
            <w:pPr>
              <w:pStyle w:val="TableContents"/>
              <w:bidi w:val="0"/>
              <w:spacing w:before="0" w:after="283"/>
              <w:jc w:val="left"/>
              <w:rPr/>
            </w:pPr>
            <w:r>
              <w:rPr/>
              <w:t> </w:t>
            </w:r>
          </w:p>
        </w:tc>
        <w:tc>
          <w:tcPr>
            <w:tcW w:w="58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c>
          <w:tcPr>
            <w:tcW w:w="5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Definitions.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pPr>
      <w:r>
        <w:rPr/>
        <w:t>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105" w:type="dxa"/>
        <w:jc w:val="left"/>
        <w:tblInd w:w="0" w:type="dxa"/>
        <w:tblLayout w:type="fixed"/>
        <w:tblCellMar>
          <w:top w:w="0" w:type="dxa"/>
          <w:left w:w="0" w:type="dxa"/>
          <w:bottom w:w="0" w:type="dxa"/>
          <w:right w:w="0" w:type="dxa"/>
        </w:tblCellMar>
      </w:tblPr>
      <w:tblGrid>
        <w:gridCol w:w="215"/>
        <w:gridCol w:w="89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w:t>
            </w:r>
            <w:r>
              <w:rPr>
                <w:rFonts w:ascii="Times New Roman;Times;serif" w:hAnsi="Times New Roman;Times;serif"/>
                <w:sz w:val="20"/>
              </w:rPr>
              <w:t xml:space="preserve"> </w:t>
            </w:r>
          </w:p>
        </w:tc>
        <w:tc>
          <w:tcPr>
            <w:tcW w:w="8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mallCaps/>
                <w:sz w:val="20"/>
              </w:rPr>
              <w:t>General</w:t>
            </w:r>
            <w:r>
              <w:rPr>
                <w:rFonts w:ascii="Times New Roman;Times;serif" w:hAnsi="Times New Roman;Times;serif"/>
                <w:smallCaps/>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w:t>
      </w:r>
      <w:r>
        <w:rPr>
          <w:rFonts w:ascii="Times New Roman;Times;serif" w:hAnsi="Times New Roman;Times;serif"/>
          <w:caps w:val="false"/>
          <w:smallCaps w:val="false"/>
          <w:sz w:val="20"/>
        </w:rPr>
        <w:t>    The purpose of the Plan is to provide a means by which Eligible Employees of the Company and certain designated Related Corporations may be given an opportunity to purchase shares of Common Stock. The Plan is intended to permit the Company to grant a series of Purchase Rights to Eligible Employees under an 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w:t>
      </w:r>
      <w:r>
        <w:rPr>
          <w:rFonts w:ascii="Times New Roman;Times;serif" w:hAnsi="Times New Roman;Times;serif"/>
          <w:caps w:val="false"/>
          <w:smallCaps w:val="false"/>
          <w:sz w:val="20"/>
        </w:rPr>
        <w:t>    The Company, by means of the Plan, seeks to retain the services of such Employees, to secure and retain the services of new Employees and to provide incentives for such persons to exert maximum efforts for the success of the Company and its Related Corporations.</w:t>
      </w:r>
    </w:p>
    <w:p>
      <w:pPr>
        <w:pStyle w:val="TextBody"/>
        <w:bidi w:val="0"/>
        <w:spacing w:before="0" w:after="0"/>
        <w:ind w:left="0" w:right="0" w:hanging="0"/>
        <w:jc w:val="both"/>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215"/>
        <w:gridCol w:w="1565"/>
      </w:tblGrid>
      <w:tr>
        <w:trPr/>
        <w:tc>
          <w:tcPr>
            <w:tcW w:w="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xml:space="preserve"> </w:t>
            </w:r>
          </w:p>
        </w:tc>
        <w:tc>
          <w:tcPr>
            <w:tcW w:w="15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mallCaps/>
                <w:sz w:val="20"/>
              </w:rPr>
              <w:t>Administration</w:t>
            </w:r>
            <w:r>
              <w:rPr>
                <w:rFonts w:ascii="Times New Roman;Times;serif" w:hAnsi="Times New Roman;Times;serif"/>
                <w:smallCaps/>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w:t>
      </w:r>
      <w:r>
        <w:rPr>
          <w:rFonts w:ascii="Times New Roman;Times;serif" w:hAnsi="Times New Roman;Times;serif"/>
          <w:caps w:val="false"/>
          <w:smallCaps w:val="false"/>
          <w:sz w:val="20"/>
        </w:rPr>
        <w:t>    The Board shall administer the Plan unless and until the Board delegates administration of the Plan to a Committee or Committees, as provided in Section 2(c).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w:t>
      </w:r>
      <w:r>
        <w:rPr>
          <w:rFonts w:ascii="Times New Roman;Times;serif" w:hAnsi="Times New Roman;Times;serif"/>
          <w:caps w:val="false"/>
          <w:smallCaps w:val="false"/>
          <w:sz w:val="20"/>
        </w:rPr>
        <w:t>    The Board shall have the power, subject to, and within the limitations of, the express provisions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w:t>
      </w:r>
      <w:r>
        <w:rPr>
          <w:rFonts w:ascii="Times New Roman;Times;serif" w:hAnsi="Times New Roman;Times;serif"/>
          <w:caps w:val="false"/>
          <w:smallCaps w:val="false"/>
          <w:sz w:val="20"/>
        </w:rPr>
        <w:t>    To determine how and when Purchase Rights to purchase shares of Common Stock shall be granted and the provisions of each Offering of such Purchase Rights (which need not be identical).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(ii)</w:t>
      </w:r>
      <w:r>
        <w:rPr>
          <w:rFonts w:ascii="Times New Roman;Times;serif" w:hAnsi="Times New Roman;Times;serif"/>
          <w:caps w:val="false"/>
          <w:smallCaps w:val="false"/>
          <w:sz w:val="20"/>
        </w:rPr>
        <w:t>    To designate from time to time which Related Corporations of the Company shall be eligible to participate in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(iii)</w:t>
      </w:r>
      <w:r>
        <w:rPr>
          <w:rFonts w:ascii="Times New Roman;Times;serif" w:hAnsi="Times New Roman;Times;serif"/>
          <w:caps w:val="false"/>
          <w:smallCaps w:val="false"/>
          <w:sz w:val="20"/>
        </w:rPr>
        <w:t>    To construe and interpret the Plan and Purchase Rights, and to establish, amend and revoke rules and regulations for its administration. The Board, in the exercise of this power, may correct any defect, omission or inconsistency in the Plan, in a manner and to the extent it shall deem necessary or expedient to make the Plan fully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(iv)</w:t>
      </w:r>
      <w:r>
        <w:rPr>
          <w:rFonts w:ascii="Times New Roman;Times;serif" w:hAnsi="Times New Roman;Times;serif"/>
          <w:caps w:val="false"/>
          <w:smallCaps w:val="false"/>
          <w:sz w:val="20"/>
        </w:rPr>
        <w:t>    To settle all controversies regarding the Plan and Purchase Rights granted under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(v)</w:t>
      </w:r>
      <w:r>
        <w:rPr>
          <w:rFonts w:ascii="Times New Roman;Times;serif" w:hAnsi="Times New Roman;Times;serif"/>
          <w:caps w:val="false"/>
          <w:smallCaps w:val="false"/>
          <w:sz w:val="20"/>
        </w:rPr>
        <w:t>    To suspend or terminate the Plan at any time as provided in Section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(vi)</w:t>
      </w:r>
      <w:r>
        <w:rPr>
          <w:rFonts w:ascii="Times New Roman;Times;serif" w:hAnsi="Times New Roman;Times;serif"/>
          <w:caps w:val="false"/>
          <w:smallCaps w:val="false"/>
          <w:sz w:val="20"/>
        </w:rPr>
        <w:t>    To amend the Plan at any time as provided in Section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(vii)</w:t>
      </w:r>
      <w:r>
        <w:rPr>
          <w:rFonts w:ascii="Times New Roman;Times;serif" w:hAnsi="Times New Roman;Times;serif"/>
          <w:caps w:val="false"/>
          <w:smallCaps w:val="false"/>
          <w:sz w:val="20"/>
        </w:rPr>
        <w:t>    Generally, to exercise such powers and to perform such acts as it deems necessary or expedient to promote the best interests of the Company and its Related Corporations and to carry out the intent that the Plan be treated as an 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(viii)</w:t>
      </w:r>
      <w:r>
        <w:rPr>
          <w:rFonts w:ascii="Times New Roman;Times;serif" w:hAnsi="Times New Roman;Times;serif"/>
          <w:caps w:val="false"/>
          <w:smallCaps w:val="false"/>
          <w:sz w:val="20"/>
        </w:rPr>
        <w:t>    To adopt such procedures and sub-plans as are necessary or appropriate to permit participation in the Plan by Employees who are foreign nationals or employed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w:t>
      </w:r>
      <w:r>
        <w:rPr>
          <w:rFonts w:ascii="Times New Roman;Times;serif" w:hAnsi="Times New Roman;Times;serif"/>
          <w:caps w:val="false"/>
          <w:smallCaps w:val="false"/>
          <w:sz w:val="20"/>
        </w:rPr>
        <w:t>    The Board may delegate some or all of the administration of the Plan to a Committee or Committees. If administration is delegated to a Committee, the Committee shall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 Whether or not the Board has delegated administration of the Plan to a Committee, the Board shall have the final power to determine all questions of policy and expediency that may arise in the administration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w:t>
      </w:r>
      <w:r>
        <w:rPr>
          <w:rFonts w:ascii="Times New Roman;Times;serif" w:hAnsi="Times New Roman;Times;serif"/>
          <w:caps w:val="false"/>
          <w:smallCaps w:val="false"/>
          <w:sz w:val="20"/>
        </w:rPr>
        <w:t>    All determinations, interpretations and constructions made by the Board in good faith shall not be subject to review by any person and shall be final, binding and conclusive on all persons.</w:t>
      </w:r>
    </w:p>
    <w:p>
      <w:pPr>
        <w:pStyle w:val="TextBody"/>
        <w:bidi w:val="0"/>
        <w:spacing w:before="0" w:after="0"/>
        <w:ind w:left="0" w:right="0" w:hanging="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215"/>
        <w:gridCol w:w="4520"/>
      </w:tblGrid>
      <w:tr>
        <w:trPr/>
        <w:tc>
          <w:tcPr>
            <w:tcW w:w="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3.</w:t>
            </w:r>
            <w:r>
              <w:rPr>
                <w:rFonts w:ascii="Times New Roman;Times;serif" w:hAnsi="Times New Roman;Times;serif"/>
                <w:sz w:val="20"/>
              </w:rPr>
              <w:t xml:space="preserve"> </w:t>
            </w:r>
          </w:p>
        </w:tc>
        <w:tc>
          <w:tcPr>
            <w:tcW w:w="45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mallCaps/>
                <w:sz w:val="20"/>
              </w:rPr>
              <w:t>Shares of Common Stock Subject to the Plan</w:t>
            </w:r>
            <w:r>
              <w:rPr>
                <w:rFonts w:ascii="Times New Roman;Times;serif" w:hAnsi="Times New Roman;Times;serif"/>
                <w:smallCaps/>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Subject to the provisions of Section 11(a) relating to Capitalization Adjustments, the initial number of shares of Common Stock that may be sold pursuant to Purchase Rights is not to exceed in the aggregate 445,000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w:t>
      </w:r>
      <w:r>
        <w:rPr>
          <w:rFonts w:ascii="Times New Roman;Times;serif" w:hAnsi="Times New Roman;Times;serif"/>
          <w:caps w:val="false"/>
          <w:smallCaps w:val="false"/>
          <w:sz w:val="20"/>
        </w:rPr>
        <w:t>    If any Purchase Right granted under the Plan shall for any reason terminate without having been exercised, the shares of Common Stock not purchased under such Purchase Right shall again become available for issuance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w:t>
      </w:r>
      <w:r>
        <w:rPr>
          <w:rFonts w:ascii="Times New Roman;Times;serif" w:hAnsi="Times New Roman;Times;serif"/>
          <w:caps w:val="false"/>
          <w:smallCaps w:val="false"/>
          <w:sz w:val="20"/>
        </w:rPr>
        <w:t>    The stock purchasable under the Plan shall be shares of authorized but unissued or reacquired Common Stock, including shares repurchased by the Company on the open market.</w:t>
      </w:r>
    </w:p>
    <w:p>
      <w:pPr>
        <w:pStyle w:val="TextBody"/>
        <w:bidi w:val="0"/>
        <w:spacing w:before="0" w:after="0"/>
        <w:ind w:left="0" w:right="0" w:hanging="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215"/>
        <w:gridCol w:w="3650"/>
      </w:tblGrid>
      <w:tr>
        <w:trPr/>
        <w:tc>
          <w:tcPr>
            <w:tcW w:w="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4.</w:t>
            </w:r>
            <w:r>
              <w:rPr>
                <w:rFonts w:ascii="Times New Roman;Times;serif" w:hAnsi="Times New Roman;Times;serif"/>
                <w:sz w:val="20"/>
              </w:rPr>
              <w:t xml:space="preserve"> </w:t>
            </w:r>
          </w:p>
        </w:tc>
        <w:tc>
          <w:tcPr>
            <w:tcW w:w="36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mallCaps/>
                <w:sz w:val="20"/>
              </w:rPr>
              <w:t>Grant of Purchase Rights; Offering</w:t>
            </w:r>
            <w:r>
              <w:rPr>
                <w:rFonts w:ascii="Times New Roman;Times;serif" w:hAnsi="Times New Roman;Times;serif"/>
                <w:smallCaps/>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w:t>
      </w:r>
      <w:r>
        <w:rPr>
          <w:rFonts w:ascii="Times New Roman;Times;serif" w:hAnsi="Times New Roman;Times;serif"/>
          <w:caps w:val="false"/>
          <w:smallCaps w:val="false"/>
          <w:sz w:val="20"/>
        </w:rPr>
        <w:t>    The Board may from time to time grant or provide for the grant of Purchase Rights to purchase shares of Common Stock under the Plan to Eligible Employees in an Offering (consisting of one or more Purchase Periods) on an Offering Date or Offering Dates selected by the Board. Each Offering shall be in such form and shall contain such terms and conditions as the Board shall deem appropriate, which shall comply with the requirement of Section 423(b)(5) of the Code that all Employees granted Purchase Rights shall have the same rights and privileges. The terms and conditions of an Offering shall be incorporated by reference into the Plan and treated as part of the Plan. The provisions of separate Offerings need not be identical, but each Offering shall include (through incorporation of the provisions of this Plan by reference in the document comprising the Offering or otherwise) the period during which the Offering shall be effective, which period shall not exceed twenty-seven (27) months beginning with the Offering Date, and the substance of the provisions contained in Sections 5 through 8, inclusive.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w:t>
      </w:r>
      <w:r>
        <w:rPr>
          <w:rFonts w:ascii="Times New Roman;Times;serif" w:hAnsi="Times New Roman;Times;serif"/>
          <w:caps w:val="false"/>
          <w:smallCaps w:val="false"/>
          <w:sz w:val="20"/>
        </w:rPr>
        <w:t>    If a Participant has more than one Purchase Right outstanding under the Plan, unless he or she otherwise indicates in agreements or notices delivered hereunder: (i) each agreement or notice delivered by that Participant shall be deemed to apply to all of his or her Purchase Rights under the Plan, and (ii) a Purchase Right with a lower exercise price (or an earlier-granted Purchase Right, if different Purchase Rights have identical exercise prices) shall be exercised to the fullest possible extent before a Purchase Right with a higher exercise price (or a later-granted Purchase Right if different Purchase Rights have identical exercise prices) shall be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w:t>
      </w:r>
      <w:r>
        <w:rPr>
          <w:rFonts w:ascii="Times New Roman;Times;serif" w:hAnsi="Times New Roman;Times;serif"/>
          <w:caps w:val="false"/>
          <w:smallCaps w:val="false"/>
          <w:sz w:val="20"/>
        </w:rPr>
        <w:t>    The Board shall have the discretion to structure an Offering so that if the Fair Market Value of the shares of Common Stock on the first day of a new Purchase Period within that Offering is less than or equal to the Fair Market Value of the shares of Common Stock on the Offering Date, then (i) that Offering shall terminate immediately, and (ii) the Participants in such terminated Offering shall be automatically enrolled in a new Offering beginning on the first day of such new Purchase Period.</w:t>
      </w:r>
    </w:p>
    <w:p>
      <w:pPr>
        <w:pStyle w:val="TextBody"/>
        <w:bidi w:val="0"/>
        <w:spacing w:before="0" w:after="0"/>
        <w:ind w:left="0" w:right="0" w:hanging="0"/>
        <w:jc w:val="both"/>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215"/>
        <w:gridCol w:w="1115"/>
      </w:tblGrid>
      <w:tr>
        <w:trPr/>
        <w:tc>
          <w:tcPr>
            <w:tcW w:w="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5.</w:t>
            </w:r>
            <w:r>
              <w:rPr>
                <w:rFonts w:ascii="Times New Roman;Times;serif" w:hAnsi="Times New Roman;Times;serif"/>
                <w:sz w:val="20"/>
              </w:rPr>
              <w:t xml:space="preserve"> </w:t>
            </w:r>
          </w:p>
        </w:tc>
        <w:tc>
          <w:tcPr>
            <w:tcW w:w="11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mallCaps/>
                <w:sz w:val="20"/>
              </w:rPr>
              <w:t>Eligibility</w:t>
            </w:r>
            <w:r>
              <w:rPr>
                <w:rFonts w:ascii="Times New Roman;Times;serif" w:hAnsi="Times New Roman;Times;serif"/>
                <w:smallCaps/>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w:t>
      </w:r>
      <w:r>
        <w:rPr>
          <w:rFonts w:ascii="Times New Roman;Times;serif" w:hAnsi="Times New Roman;Times;serif"/>
          <w:caps w:val="false"/>
          <w:smallCaps w:val="false"/>
          <w:sz w:val="20"/>
        </w:rPr>
        <w:t>    Purchase Rights may be granted only to Employees of the Company or, as the Board may designate as provided in Section 2(b), to Employees of a Related Corporation. Except as provided in Section 5(b), an Employee shall not be eligible to be granted Purchase Rights under the Plan unless, on the Offering Date, such Employee has been in the employ of the Company or the Related Corporation, as the case may be, for such continuous period preceding such Offering Date as the Board may require, but in no event shall the required period of continuous employment be greater than two (2) years. In addition, the Board may provide that no Employee shall be eligible to be granted Purchase Rights under the Plan unless, on the Offering Date, such Employee’s customary employment with the Company or the Related Corporation is more than twenty (20) hours per week and more than five (5) months per calendar year or such other criteria as the Board may determine consistent with Section 423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w:t>
      </w:r>
      <w:r>
        <w:rPr>
          <w:rFonts w:ascii="Times New Roman;Times;serif" w:hAnsi="Times New Roman;Times;serif"/>
          <w:caps w:val="false"/>
          <w:smallCaps w:val="false"/>
          <w:sz w:val="20"/>
        </w:rPr>
        <w:t>    The Board may provide that each person who, during the course of an Offering, first becomes an Eligible Employee shall, on a date or dates specified in the Offering which coincides with the day on which such person becomes an Eligible Employee or which occurs thereafter, receive a Purchase Right under that Offering, which Purchase Right shall thereafter be deemed to be a part of that Offering. Such Purchase Right shall have the same characteristics as any Purchase Rights originally granted under that Offering, as described herein, except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w:t>
      </w:r>
      <w:r>
        <w:rPr>
          <w:rFonts w:ascii="Times New Roman;Times;serif" w:hAnsi="Times New Roman;Times;serif"/>
          <w:caps w:val="false"/>
          <w:smallCaps w:val="false"/>
          <w:sz w:val="20"/>
        </w:rPr>
        <w:t>    the date on which such Purchase Right is granted shall be the “Offering Date” of such Purchase Right for all purposes, including determination of the exercise price of such Purchase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(ii)</w:t>
      </w:r>
      <w:r>
        <w:rPr>
          <w:rFonts w:ascii="Times New Roman;Times;serif" w:hAnsi="Times New Roman;Times;serif"/>
          <w:caps w:val="false"/>
          <w:smallCaps w:val="false"/>
          <w:sz w:val="20"/>
        </w:rPr>
        <w:t>    the period of the Offering with respect to such Purchase Right shall begin on its Offering Date and end coincident with the end of such Offering;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(iii)</w:t>
      </w:r>
      <w:r>
        <w:rPr>
          <w:rFonts w:ascii="Times New Roman;Times;serif" w:hAnsi="Times New Roman;Times;serif"/>
          <w:caps w:val="false"/>
          <w:smallCaps w:val="false"/>
          <w:sz w:val="20"/>
        </w:rPr>
        <w:t>    the Board may provide that if such person first becomes an Eligible Employee within a specified period of time before the end of the Offering, he or she shall not receive any Purchase Right under that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w:t>
      </w:r>
      <w:r>
        <w:rPr>
          <w:rFonts w:ascii="Times New Roman;Times;serif" w:hAnsi="Times New Roman;Times;serif"/>
          <w:caps w:val="false"/>
          <w:smallCaps w:val="false"/>
          <w:sz w:val="20"/>
        </w:rPr>
        <w:t>    No Employee shall be eligible for the grant of any Purchase Rights under the Plan if, immediately after any such Purchase Rights are granted, such Employee owns stock possessing five percent (5%) or more of the total combined voting power or value of all classes of stock of the Company or of any Related Corporation. For purposes of this Section 5(c), the rules of Section 424(d) of the Code shall apply in determining the stock ownership of any Employee, and stock which such Employee may purchase under all outstanding Purchase Rights and options shall be treated as stock owned by such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w:t>
      </w:r>
      <w:r>
        <w:rPr>
          <w:rFonts w:ascii="Times New Roman;Times;serif" w:hAnsi="Times New Roman;Times;serif"/>
          <w:caps w:val="false"/>
          <w:smallCaps w:val="false"/>
          <w:sz w:val="20"/>
        </w:rPr>
        <w:t>    As specified by Section 423(b)(8) of the Code, an Eligible Employee may be granted Purchase Rights under the Plan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exceeds twenty five thousand dollars ($25,000) of Fair Market Value of such stock (determined at the time such rights are granted, and which, with respect to the Plan, shall be determined as of their respective Offering Dates) for each calendar year in which such rights are outstanding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(e)</w:t>
      </w:r>
      <w:r>
        <w:rPr>
          <w:rFonts w:ascii="Times New Roman;Times;serif" w:hAnsi="Times New Roman;Times;serif"/>
          <w:caps w:val="false"/>
          <w:smallCaps w:val="false"/>
          <w:sz w:val="20"/>
        </w:rPr>
        <w:t>    Officers of the Company and any designated Related Corporation, if they are otherwise Eligible Employees, shall be eligible to participate in Offerings under the Plan. Notwithstanding the foregoing, the Board may provide in an Offering that Employees who are highly compensated Employees within the meaning of Section 423(b)(4)(D) of the Code shall not be eligible to participate.</w:t>
      </w:r>
    </w:p>
    <w:p>
      <w:pPr>
        <w:pStyle w:val="TextBody"/>
        <w:bidi w:val="0"/>
        <w:spacing w:before="0" w:after="0"/>
        <w:ind w:left="0" w:right="0" w:hanging="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15"/>
        <w:gridCol w:w="3305"/>
      </w:tblGrid>
      <w:tr>
        <w:trPr/>
        <w:tc>
          <w:tcPr>
            <w:tcW w:w="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6.</w:t>
            </w:r>
            <w:r>
              <w:rPr>
                <w:rFonts w:ascii="Times New Roman;Times;serif" w:hAnsi="Times New Roman;Times;serif"/>
                <w:sz w:val="20"/>
              </w:rPr>
              <w:t xml:space="preserve"> </w:t>
            </w:r>
          </w:p>
        </w:tc>
        <w:tc>
          <w:tcPr>
            <w:tcW w:w="33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mallCaps/>
                <w:sz w:val="20"/>
              </w:rPr>
              <w:t>Purchase Rights; Purchase Price</w:t>
            </w:r>
            <w:r>
              <w:rPr>
                <w:rFonts w:ascii="Times New Roman;Times;serif" w:hAnsi="Times New Roman;Times;serif"/>
                <w:smallCaps/>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w:t>
      </w:r>
      <w:r>
        <w:rPr>
          <w:rFonts w:ascii="Times New Roman;Times;serif" w:hAnsi="Times New Roman;Times;serif"/>
          <w:caps w:val="false"/>
          <w:smallCaps w:val="false"/>
          <w:sz w:val="20"/>
        </w:rPr>
        <w:t>    On each Offering Date, each Eligible Employee, pursuant to an Offering made under the Plan, shall be granted a Purchase Right to purchase up to that number of shares of Common Stock purchasable either with a percentage or with a maximum dollar amount, as designated by the Board, but in either case not exceeding fifteen percent (15%) of such Employee’s earnings (as defined by the Board in each Offering) during the period that begins on the Offering Date (or such later date as the Board determines for a particular Offering) and ends on the date stated in the Offering, which date shall be no later than the end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w:t>
      </w:r>
      <w:r>
        <w:rPr>
          <w:rFonts w:ascii="Times New Roman;Times;serif" w:hAnsi="Times New Roman;Times;serif"/>
          <w:caps w:val="false"/>
          <w:smallCaps w:val="false"/>
          <w:sz w:val="20"/>
        </w:rPr>
        <w:t>    The Board shall establish one (1) or more Purchase Dates during an Offering as of which Purchase Rights granted pursuant to that Offering shall be exercised and purchases of shares of Common Stock shall be carried out in accordance with such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w:t>
      </w:r>
      <w:r>
        <w:rPr>
          <w:rFonts w:ascii="Times New Roman;Times;serif" w:hAnsi="Times New Roman;Times;serif"/>
          <w:caps w:val="false"/>
          <w:smallCaps w:val="false"/>
          <w:sz w:val="20"/>
        </w:rPr>
        <w:t>    In connection with each Offering made under the Plan, the Board may specify a maximum number of shares of Common Stock that may be purchased by any Participant on any Purchase Date during such Offering. In connection with each Offering made under the Plan, the Board may specify a maximum aggregate number of shares of Common Stock that may be purchased by all Participants pursuant to such Offering. In addition, in connection with each Offering that contains more than one Purchase Date, the Board may specify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earnings contributions) allocation of the shares of Common Stock available shall be made in as nearly a uniform manner as shall be practicable and equitable.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w:t>
      </w:r>
      <w:r>
        <w:rPr>
          <w:rFonts w:ascii="Times New Roman;Times;serif" w:hAnsi="Times New Roman;Times;serif"/>
          <w:caps w:val="false"/>
          <w:smallCaps w:val="false"/>
          <w:sz w:val="20"/>
        </w:rPr>
        <w:t>    The purchase price of shares of Common Stock acquired pursuant to Purchase Rights shall be not less than the lesser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w:t>
      </w:r>
      <w:r>
        <w:rPr>
          <w:rFonts w:ascii="Times New Roman;Times;serif" w:hAnsi="Times New Roman;Times;serif"/>
          <w:caps w:val="false"/>
          <w:smallCaps w:val="false"/>
          <w:sz w:val="20"/>
        </w:rPr>
        <w:t>    an amount equal to eighty-five percent (85%) of the Fair Market Value of the shares of Common Stock on the Offering Date;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126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(ii)</w:t>
      </w:r>
      <w:r>
        <w:rPr>
          <w:rFonts w:ascii="Times New Roman;Times;serif" w:hAnsi="Times New Roman;Times;serif"/>
          <w:caps w:val="false"/>
          <w:smallCaps w:val="false"/>
          <w:sz w:val="20"/>
        </w:rPr>
        <w:t>    an amount equal to eighty-five percent (85%) of the Fair Market Value of the shares of Common Stock on the applicable Purchase Date.</w:t>
      </w:r>
    </w:p>
    <w:p>
      <w:pPr>
        <w:pStyle w:val="TextBody"/>
        <w:bidi w:val="0"/>
        <w:spacing w:before="0" w:after="0"/>
        <w:ind w:left="0" w:right="0" w:hanging="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215"/>
        <w:gridCol w:w="4100"/>
      </w:tblGrid>
      <w:tr>
        <w:trPr/>
        <w:tc>
          <w:tcPr>
            <w:tcW w:w="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7.</w:t>
            </w:r>
            <w:r>
              <w:rPr>
                <w:rFonts w:ascii="Times New Roman;Times;serif" w:hAnsi="Times New Roman;Times;serif"/>
                <w:sz w:val="20"/>
              </w:rPr>
              <w:t xml:space="preserve"> </w:t>
            </w:r>
          </w:p>
        </w:tc>
        <w:tc>
          <w:tcPr>
            <w:tcW w:w="41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mallCaps/>
                <w:sz w:val="20"/>
              </w:rPr>
              <w:t>Participation; Withdrawal; Termination</w:t>
            </w:r>
            <w:r>
              <w:rPr>
                <w:rFonts w:ascii="Times New Roman;Times;serif" w:hAnsi="Times New Roman;Times;serif"/>
                <w:smallCaps/>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w:t>
      </w:r>
      <w:r>
        <w:rPr>
          <w:rFonts w:ascii="Times New Roman;Times;serif" w:hAnsi="Times New Roman;Times;serif"/>
          <w:caps w:val="false"/>
          <w:smallCaps w:val="false"/>
          <w:sz w:val="20"/>
        </w:rPr>
        <w:t>    An Eligible Employee may elect to authorize payroll deductions pursuant to an Offering under the Plan by completing and delivering to the Company, within the time specified in the Offering, an enrollment form (in such form as the Company may provide). Each such enrollment form shall authorize an amount of Contributions expressed as a percentage of the submitting Participant’s earnings (as defined in each Offering) during the Offering (not to exceed the maximum percentage specified by the Board). Each Participant’s Contributions shall be credited to a bookkeeping account for such Participant under the Plan and shall be deposited with the general funds of the Company except where applicable law requires that Contributions be deposited with a third party. To the extent provided in the Offering, a Participant may begin such Contributions with the first payroll occurring on or after the beginning of the Offering. To the extent provided in the Offering, a Participant may thereafter reduce (including to zero) or increase his or her Contributions. To the extent specifically provided in the Offering, in addition to making Contributions by payroll deductions, a Participant may make Contributions through the payment by cash or check prior to each Purchase Date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w:t>
      </w:r>
      <w:r>
        <w:rPr>
          <w:rFonts w:ascii="Times New Roman;Times;serif" w:hAnsi="Times New Roman;Times;serif"/>
          <w:caps w:val="false"/>
          <w:smallCaps w:val="false"/>
          <w:sz w:val="20"/>
        </w:rPr>
        <w:t>    During an Offering, a Participant may cease making Contributions and withdraw from the Offering by delivering to the Company a notice of withdrawal in such form as the Company may provide. Such withdrawal may be elected at any time prior to the end of the Offering, except as provided otherwise in the Offering. Upon such withdrawal from the Offering by a Participant, the Company shall distribute to such Participant all of his or her accumulated Contributions (reduced to the extent, if any, such Contributions have been used to acquire shares of Common Stock for the Participant) under the Offering, and such Participant’s Purchase Right in that Offering shall thereupon terminate. A Participant’s withdrawal from an Offering shall have no effect upon such Participant’s eligibility to participate in any other Offerings under the Plan, but such Participant shall be required to deliver a new enrollment form in order to participate in subsequent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w:t>
      </w:r>
      <w:r>
        <w:rPr>
          <w:rFonts w:ascii="Times New Roman;Times;serif" w:hAnsi="Times New Roman;Times;serif"/>
          <w:caps w:val="false"/>
          <w:smallCaps w:val="false"/>
          <w:sz w:val="20"/>
        </w:rPr>
        <w:t>    Purchase Rights granted pursuant to any Offering under the Plan shall terminate immediately upon a Participant ceasing to be an Employee for any reason or for no reason (subject to any post-employment participation period required by law) or other lack of eligibility. The Company shall distribute to such terminated or otherwise ineligible Employee all of his or her accumulated Contributions (reduced to the extent, if any, such Contributions have been used to acquire shares of Common Stock for the terminated or otherwise ineligible Employee) under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w:t>
      </w:r>
      <w:r>
        <w:rPr>
          <w:rFonts w:ascii="Times New Roman;Times;serif" w:hAnsi="Times New Roman;Times;serif"/>
          <w:caps w:val="false"/>
          <w:smallCaps w:val="false"/>
          <w:sz w:val="20"/>
        </w:rPr>
        <w:t>    Purchase Rights shall not be transferable by a Participant except by will, the laws of descent and distribution, or by a beneficiary designation as provided in Section 10. During a Participant’s lifetime, Purchase Rights shall be exercisable only by such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(e)</w:t>
      </w:r>
      <w:r>
        <w:rPr>
          <w:rFonts w:ascii="Times New Roman;Times;serif" w:hAnsi="Times New Roman;Times;serif"/>
          <w:caps w:val="false"/>
          <w:smallCaps w:val="false"/>
          <w:sz w:val="20"/>
        </w:rPr>
        <w:t>    Unless otherwise specified in an Offering, the Company shall have no obligation to pay interest on Contributions.</w:t>
      </w:r>
    </w:p>
    <w:p>
      <w:pPr>
        <w:pStyle w:val="TextBody"/>
        <w:bidi w:val="0"/>
        <w:spacing w:before="0" w:after="0"/>
        <w:ind w:left="0" w:right="0" w:hanging="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215"/>
        <w:gridCol w:w="2885"/>
      </w:tblGrid>
      <w:tr>
        <w:trPr/>
        <w:tc>
          <w:tcPr>
            <w:tcW w:w="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8.</w:t>
            </w:r>
            <w:r>
              <w:rPr>
                <w:rFonts w:ascii="Times New Roman;Times;serif" w:hAnsi="Times New Roman;Times;serif"/>
                <w:sz w:val="20"/>
              </w:rPr>
              <w:t xml:space="preserve"> </w:t>
            </w:r>
          </w:p>
        </w:tc>
        <w:tc>
          <w:tcPr>
            <w:tcW w:w="28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mallCaps/>
                <w:sz w:val="20"/>
              </w:rPr>
              <w:t>Exercise of Purchase Rights</w:t>
            </w:r>
            <w:r>
              <w:rPr>
                <w:rFonts w:ascii="Times New Roman;Times;serif" w:hAnsi="Times New Roman;Times;serif"/>
                <w:smallCaps/>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w:t>
      </w:r>
      <w:r>
        <w:rPr>
          <w:rFonts w:ascii="Times New Roman;Times;serif" w:hAnsi="Times New Roman;Times;serif"/>
          <w:caps w:val="false"/>
          <w:smallCaps w:val="false"/>
          <w:sz w:val="20"/>
        </w:rPr>
        <w:t>    On each Purchase Date during an Offering, each Participant’s accumulated Contributions shall be applied to the purchase of shares of Common Stock up to the maximum number of shares of Common Stock permitted pursuant to the terms of the Plan and the applicable Offering, at the purchase price specified in the Offering. No fractional shares shall be issued upon the exercise of Purchase Rights unless specifically provided for in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w:t>
      </w:r>
      <w:r>
        <w:rPr>
          <w:rFonts w:ascii="Times New Roman;Times;serif" w:hAnsi="Times New Roman;Times;serif"/>
          <w:caps w:val="false"/>
          <w:smallCaps w:val="false"/>
          <w:sz w:val="20"/>
        </w:rPr>
        <w:t>    If any amount of accumulated Contributions remains in a Participant’s account after the purchase of shares of Common Stock, then such remaining amount shall be distributed in full to such Participant at the end of the Offering without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w:t>
      </w:r>
      <w:r>
        <w:rPr>
          <w:rFonts w:ascii="Times New Roman;Times;serif" w:hAnsi="Times New Roman;Times;serif"/>
          <w:caps w:val="false"/>
          <w:smallCaps w:val="false"/>
          <w:sz w:val="20"/>
        </w:rPr>
        <w:t>    No Purchase Rights may be exercised to any extent unless the shares of Common Stock to be issued upon such exercise under the Plan are covered by an effective registration statement pursuant to the Securities Act and the Plan is in material compliance with all applicable federal, state, foreign and other securities and other laws applicable to the Plan. If on a Purchase Date during any Offering hereunder the shares of Common Stock are not so registered or the Plan is not in such compliance, no Purchase Rights or any Offering shall be exercised on such Purchase Date, and the Purchase Date shall be delayed until the shares of Common Stock are subject to such an effective registration statement and the Plan is in such compliance, except that the Purchase Date shall not be delayed more than twelve (12) months and the Purchase Date shall in no event be more than twenty-seven (27) months from the Offering Date. If, on the Purchase Date under any Offering hereunder, as delayed to the maximum extent permissible, the shares of Common Stock are not registered and the Plan is not in such compliance, no Purchase Rights shall be exercised and all Contributions accumulated during the Offering (reduced to the extent, if any, such Contributions have been used to acquire shares of Common Stock) shall be distributed to the Participants without interest.</w:t>
      </w:r>
    </w:p>
    <w:p>
      <w:pPr>
        <w:pStyle w:val="TextBody"/>
        <w:bidi w:val="0"/>
        <w:spacing w:before="0" w:after="0"/>
        <w:ind w:left="0" w:right="0" w:hanging="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215"/>
        <w:gridCol w:w="2705"/>
      </w:tblGrid>
      <w:tr>
        <w:trPr/>
        <w:tc>
          <w:tcPr>
            <w:tcW w:w="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9.</w:t>
            </w:r>
            <w:r>
              <w:rPr>
                <w:rFonts w:ascii="Times New Roman;Times;serif" w:hAnsi="Times New Roman;Times;serif"/>
                <w:sz w:val="20"/>
              </w:rPr>
              <w:t xml:space="preserve"> </w:t>
            </w:r>
          </w:p>
        </w:tc>
        <w:tc>
          <w:tcPr>
            <w:tcW w:w="27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mallCaps/>
                <w:sz w:val="20"/>
              </w:rPr>
              <w:t>Covenants of the company</w:t>
            </w:r>
            <w:r>
              <w:rPr>
                <w:rFonts w:ascii="Times New Roman;Times;serif" w:hAnsi="Times New Roman;Times;serif"/>
                <w:smallCaps/>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shall seek to obtain from each federal, state, foreign or other regulatory commission or agency having jurisdiction over the Plan such authority as may be required to issue and sell shares of Common Stock upon exercise of the Purchase Rights. If, after commercially reasonable efforts, the Company is unable to obtain from any such regulatory commission or agency the authority that counsel for the Company deems necessary for the lawful issuance and sale of Common Stock under the Plan, and at a commercially reasonable cost, the Company shall be relieved from any liability for failure to issue and sell Common Stock upon exercise of such Purchase Rights unless and until such authority is obtained.</w:t>
      </w:r>
    </w:p>
    <w:p>
      <w:pPr>
        <w:pStyle w:val="TextBody"/>
        <w:bidi w:val="0"/>
        <w:spacing w:before="0" w:after="0"/>
        <w:ind w:left="0" w:right="0" w:hanging="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320"/>
        <w:gridCol w:w="2750"/>
      </w:tblGrid>
      <w:tr>
        <w:trPr/>
        <w:tc>
          <w:tcPr>
            <w:tcW w:w="3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10.</w:t>
            </w:r>
            <w:r>
              <w:rPr>
                <w:rFonts w:ascii="Times New Roman;Times;serif" w:hAnsi="Times New Roman;Times;serif"/>
                <w:sz w:val="20"/>
              </w:rPr>
              <w:t xml:space="preserve"> </w:t>
            </w:r>
          </w:p>
        </w:tc>
        <w:tc>
          <w:tcPr>
            <w:tcW w:w="27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mallCaps/>
                <w:sz w:val="20"/>
              </w:rPr>
              <w:t>Designation of Beneficiary</w:t>
            </w:r>
            <w:r>
              <w:rPr>
                <w:rFonts w:ascii="Times New Roman;Times;serif" w:hAnsi="Times New Roman;Times;serif"/>
                <w:smallCaps/>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w:t>
      </w:r>
      <w:r>
        <w:rPr>
          <w:rFonts w:ascii="Times New Roman;Times;serif" w:hAnsi="Times New Roman;Times;serif"/>
          <w:caps w:val="false"/>
          <w:smallCaps w:val="false"/>
          <w:sz w:val="20"/>
        </w:rPr>
        <w:t>    A Participant may file a written designation of a beneficiary who is to receive any shares of Common Stock and/or cash, if any, from the Participant’s account under the Plan in the event of such Participant’s death subsequent to the end of an Offering but prior to delivery to the Participant of such shares of Common Stock or cash. In addition, a Participant may file a written designation of a beneficiary who is to receive any cash from the Participant’s account under the Plan in the event of such Participant’s death during an Offering. Any such designation shall be on a form provided by or otherwise acceptable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w:t>
      </w:r>
      <w:r>
        <w:rPr>
          <w:rFonts w:ascii="Times New Roman;Times;serif" w:hAnsi="Times New Roman;Times;serif"/>
          <w:caps w:val="false"/>
          <w:smallCaps w:val="false"/>
          <w:sz w:val="20"/>
        </w:rPr>
        <w:t>    The Participant may change such designation of beneficiary at any time by written notice to the Company. In the event of the death of a Participant and in the absence of a beneficiary validly designated under the Plan who is living at the time of such Participant’s death, the Company shall deliver such shares of Common Stock and/or cash to the executor or administrator of the estate of the Participant, or if no such executor or administrator has been appointed (to the knowledge of the Company), the Company, in its sole discretion, may deliver such shares of Common Stock and/or cash to the spouse or to any one or more dependents or relatives of the Participant, or if no spouse, dependent or relative is known to the Company, then to such other person as the Company may designate.</w:t>
      </w:r>
    </w:p>
    <w:p>
      <w:pPr>
        <w:pStyle w:val="TextBody"/>
        <w:bidi w:val="0"/>
        <w:spacing w:before="0" w:after="0"/>
        <w:ind w:left="0" w:right="0" w:hanging="0"/>
        <w:jc w:val="both"/>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320"/>
        <w:gridCol w:w="7025"/>
      </w:tblGrid>
      <w:tr>
        <w:trPr/>
        <w:tc>
          <w:tcPr>
            <w:tcW w:w="3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11.</w:t>
            </w:r>
            <w:r>
              <w:rPr>
                <w:rFonts w:ascii="Times New Roman;Times;serif" w:hAnsi="Times New Roman;Times;serif"/>
                <w:sz w:val="20"/>
              </w:rPr>
              <w:t xml:space="preserve"> </w:t>
            </w:r>
          </w:p>
        </w:tc>
        <w:tc>
          <w:tcPr>
            <w:tcW w:w="70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mallCaps/>
                <w:sz w:val="20"/>
              </w:rPr>
              <w:t>Adjustments Upon Changes in Common Stock; Corporate Transactions</w:t>
            </w:r>
            <w:r>
              <w:rPr>
                <w:rFonts w:ascii="Times New Roman;Times;serif" w:hAnsi="Times New Roman;Times;serif"/>
                <w:smallCaps/>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w:t>
      </w:r>
      <w:r>
        <w:rPr>
          <w:rFonts w:ascii="Times New Roman;Times;serif" w:hAnsi="Times New Roman;Times;serif"/>
          <w:caps w:val="false"/>
          <w:smallCaps w:val="false"/>
          <w:sz w:val="20"/>
        </w:rPr>
        <w:t>    In the event of a Capitalization Adjustment, the Board shall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shall make such adjustments, and its determination shall be final, binding and conclusive.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w:t>
      </w:r>
      <w:r>
        <w:rPr>
          <w:rFonts w:ascii="Times New Roman;Times;serif" w:hAnsi="Times New Roman;Times;serif"/>
          <w:caps w:val="false"/>
          <w:smallCaps w:val="false"/>
          <w:sz w:val="20"/>
        </w:rPr>
        <w:t>    In the event of a Corporate Transaction, then: (i) any surviving corporation or acquiring corporation (or the surviving or acquiring corporation’s parent company) may assume or continue Purchase Rights outstanding under the Plan or may substitute similar rights (including a right to acquire the same consideration paid to the stockholders in the Corporate Transaction) for those outstanding under the Plan; or (ii) if any surviving or acquiring corporation (or its parent company) does not assume or continue such Purchase Rights or does not substitute similar rights for Purchase Rights outstanding under the Plan, then the Participants’ accumulated Contributions shall be used to purchase shares of Common Stock within ten (10) business days prior to the Corporate Transaction under any ongoing Offerings, and the Participants’ Purchase Rights under the ongoing Offerings shall terminate immediately after such purchase.</w:t>
      </w:r>
    </w:p>
    <w:p>
      <w:pPr>
        <w:pStyle w:val="TextBody"/>
        <w:bidi w:val="0"/>
        <w:spacing w:before="0" w:after="0"/>
        <w:ind w:left="0" w:right="0" w:hanging="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320"/>
        <w:gridCol w:w="5075"/>
      </w:tblGrid>
      <w:tr>
        <w:trPr/>
        <w:tc>
          <w:tcPr>
            <w:tcW w:w="3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12.</w:t>
            </w:r>
            <w:r>
              <w:rPr>
                <w:rFonts w:ascii="Times New Roman;Times;serif" w:hAnsi="Times New Roman;Times;serif"/>
                <w:sz w:val="20"/>
              </w:rPr>
              <w:t xml:space="preserve"> </w:t>
            </w:r>
          </w:p>
        </w:tc>
        <w:tc>
          <w:tcPr>
            <w:tcW w:w="50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mallCaps/>
                <w:sz w:val="20"/>
              </w:rPr>
              <w:t>Amendment, Termination or Suspension of the Plan</w:t>
            </w:r>
            <w:r>
              <w:rPr>
                <w:rFonts w:ascii="Times New Roman;Times;serif" w:hAnsi="Times New Roman;Times;serif"/>
                <w:smallCaps/>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w:t>
      </w:r>
      <w:r>
        <w:rPr>
          <w:rFonts w:ascii="Times New Roman;Times;serif" w:hAnsi="Times New Roman;Times;serif"/>
          <w:caps w:val="false"/>
          <w:smallCaps w:val="false"/>
          <w:sz w:val="20"/>
        </w:rPr>
        <w:t>    The Board may amend the Plan at any time in any respect the Board deems necessary or advisable. However, except as provided in Section 11(a) relating to Capitalization Adjustments, stockholder approval shall be required for any amendment of the Plan for which stockholder approval is required by applicable law or listing requirements, including any amendment that either (i) materially increases the number of shares of Common Stock available for issuance under the Plan, (ii) materially expands the class of individuals eligible to become Participants and receive Purchase Rights under the Plan, (iii) materially increases the benefits accruing to Participants under the Plan or materially reduces the price at which shares of Common Stock may be purchased under the Plan, (iv) materially extends the term of the Plan, or (v) expands the types of awards available for issuance under the Plan, but in each of (i) through (v) above only to the extent stockholder approval is required by applicable law or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w:t>
      </w:r>
      <w:r>
        <w:rPr>
          <w:rFonts w:ascii="Times New Roman;Times;serif" w:hAnsi="Times New Roman;Times;serif"/>
          <w:caps w:val="false"/>
          <w:smallCaps w:val="false"/>
          <w:sz w:val="20"/>
        </w:rPr>
        <w:t>    The Board may suspend or terminate the Plan at any time. No Purchase Rights may be granted under the Plan while the Plan is suspended or after it is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w:t>
      </w:r>
      <w:r>
        <w:rPr>
          <w:rFonts w:ascii="Times New Roman;Times;serif" w:hAnsi="Times New Roman;Times;serif"/>
          <w:caps w:val="false"/>
          <w:smallCaps w:val="false"/>
          <w:sz w:val="20"/>
        </w:rPr>
        <w:t>    Any benefits, privileges, entitlements and obligations under any outstanding Purchase Rights granted before an amendment, suspension or termination of the Plan shall not be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Effective Date, or (iii) as necessary to obtain or maintain favorable tax, listing, or regulatory treatment.</w:t>
      </w:r>
    </w:p>
    <w:p>
      <w:pPr>
        <w:pStyle w:val="TextBody"/>
        <w:bidi w:val="0"/>
        <w:spacing w:before="0" w:after="0"/>
        <w:ind w:left="0" w:right="0" w:hanging="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320"/>
        <w:gridCol w:w="2330"/>
      </w:tblGrid>
      <w:tr>
        <w:trPr/>
        <w:tc>
          <w:tcPr>
            <w:tcW w:w="3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13.</w:t>
            </w:r>
            <w:r>
              <w:rPr>
                <w:rFonts w:ascii="Times New Roman;Times;serif" w:hAnsi="Times New Roman;Times;serif"/>
                <w:sz w:val="20"/>
              </w:rPr>
              <w:t xml:space="preserve"> </w:t>
            </w:r>
          </w:p>
        </w:tc>
        <w:tc>
          <w:tcPr>
            <w:tcW w:w="23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mallCaps/>
                <w:sz w:val="20"/>
              </w:rPr>
              <w:t>Effective Date of Plan</w:t>
            </w:r>
            <w:r>
              <w:rPr>
                <w:rFonts w:ascii="Times New Roman;Times;serif" w:hAnsi="Times New Roman;Times;serif"/>
                <w:smallCaps/>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Plan shall become effective on the IPO Date, but no Purchase Rights shall be exercised unless and until the Plan has been approved by the stockholders of the Company, which approval shall be within twelve (12) months before or after the date the Plan is adopted by the Board.</w:t>
      </w:r>
    </w:p>
    <w:p>
      <w:pPr>
        <w:pStyle w:val="TextBody"/>
        <w:bidi w:val="0"/>
        <w:spacing w:before="0" w:after="0"/>
        <w:ind w:left="0" w:right="0" w:hanging="0"/>
        <w:jc w:val="both"/>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320"/>
        <w:gridCol w:w="2615"/>
      </w:tblGrid>
      <w:tr>
        <w:trPr/>
        <w:tc>
          <w:tcPr>
            <w:tcW w:w="3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14.</w:t>
            </w:r>
            <w:r>
              <w:rPr>
                <w:rFonts w:ascii="Times New Roman;Times;serif" w:hAnsi="Times New Roman;Times;serif"/>
                <w:sz w:val="20"/>
              </w:rPr>
              <w:t xml:space="preserve"> </w:t>
            </w:r>
          </w:p>
        </w:tc>
        <w:tc>
          <w:tcPr>
            <w:tcW w:w="2615" w:type="dxa"/>
            <w:tcBorders/>
            <w:vAlign w:val="center"/>
          </w:tcPr>
          <w:p>
            <w:pPr>
              <w:pStyle w:val="TableContents"/>
              <w:bidi w:val="0"/>
              <w:spacing w:before="0" w:after="0"/>
              <w:ind w:left="0" w:right="0" w:hanging="0"/>
              <w:jc w:val="both"/>
              <w:rPr>
                <w:rFonts w:ascii="Times New Roman;Times;serif" w:hAnsi="Times New Roman;Times;serif"/>
                <w:b/>
                <w:smallCaps/>
                <w:sz w:val="20"/>
              </w:rPr>
            </w:pPr>
            <w:r>
              <w:rPr>
                <w:rFonts w:ascii="Times New Roman;Times;serif" w:hAnsi="Times New Roman;Times;serif"/>
                <w:b/>
                <w:smallCaps/>
                <w:sz w:val="20"/>
              </w:rPr>
              <w:t>Miscellaneous Provisions.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w:t>
      </w:r>
      <w:r>
        <w:rPr>
          <w:rFonts w:ascii="Times New Roman;Times;serif" w:hAnsi="Times New Roman;Times;serif"/>
          <w:caps w:val="false"/>
          <w:smallCaps w:val="false"/>
          <w:sz w:val="20"/>
        </w:rPr>
        <w:t>    Proceeds from the sale of shares of Common Stock pursuant to Purchase Rights shall constitute general funds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w:t>
      </w:r>
      <w:r>
        <w:rPr>
          <w:rFonts w:ascii="Times New Roman;Times;serif" w:hAnsi="Times New Roman;Times;serif"/>
          <w:caps w:val="false"/>
          <w:smallCaps w:val="false"/>
          <w:sz w:val="20"/>
        </w:rPr>
        <w:t>    A Participant shall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w:t>
      </w:r>
      <w:r>
        <w:rPr>
          <w:rFonts w:ascii="Times New Roman;Times;serif" w:hAnsi="Times New Roman;Times;serif"/>
          <w:caps w:val="false"/>
          <w:smallCaps w:val="false"/>
          <w:sz w:val="20"/>
        </w:rPr>
        <w:t>    The Plan and Offering do not constitute an employment contract. Nothing in the Plan or in the Offering shall in any way alter the at will nature of a Participant’s employment or be deemed to create in any way whatsoever any obligation on the part of any Participant to continue in the employ of the Company or a Related Corporation, or on the part of the Company or a Related Corporation to continue the employment of a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w:t>
      </w:r>
      <w:r>
        <w:rPr>
          <w:rFonts w:ascii="Times New Roman;Times;serif" w:hAnsi="Times New Roman;Times;serif"/>
          <w:caps w:val="false"/>
          <w:smallCaps w:val="false"/>
          <w:sz w:val="20"/>
        </w:rPr>
        <w:t>    The provisions of the Plan shall be governed by the laws of the State of California without resort to that state’s conflicts of laws rules.</w:t>
      </w:r>
    </w:p>
    <w:p>
      <w:pPr>
        <w:pStyle w:val="TextBody"/>
        <w:bidi w:val="0"/>
        <w:spacing w:before="0" w:after="0"/>
        <w:ind w:left="0" w:right="0" w:hanging="0"/>
        <w:jc w:val="both"/>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320"/>
        <w:gridCol w:w="1160"/>
      </w:tblGrid>
      <w:tr>
        <w:trPr/>
        <w:tc>
          <w:tcPr>
            <w:tcW w:w="3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15.</w:t>
            </w:r>
            <w:r>
              <w:rPr>
                <w:rFonts w:ascii="Times New Roman;Times;serif" w:hAnsi="Times New Roman;Times;serif"/>
                <w:sz w:val="20"/>
              </w:rPr>
              <w:t xml:space="preserve"> </w:t>
            </w:r>
          </w:p>
        </w:tc>
        <w:tc>
          <w:tcPr>
            <w:tcW w:w="11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mallCaps/>
                <w:sz w:val="20"/>
              </w:rPr>
              <w:t>Definitions</w:t>
            </w:r>
            <w:r>
              <w:rPr>
                <w:rFonts w:ascii="Times New Roman;Times;serif" w:hAnsi="Times New Roman;Times;serif"/>
                <w:smallCaps/>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used in the Plan, the following definitions shall apply to the capitalized terms indicated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Board</w:t>
      </w:r>
      <w:r>
        <w:rPr>
          <w:rFonts w:ascii="Times New Roman;Times;serif" w:hAnsi="Times New Roman;Times;serif"/>
          <w:caps w:val="false"/>
          <w:smallCaps w:val="false"/>
          <w:sz w:val="20"/>
        </w:rPr>
        <w:t>” means the Board of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(b)</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Capitalization Adjustment</w:t>
      </w:r>
      <w:r>
        <w:rPr>
          <w:rFonts w:ascii="Times New Roman;Times;serif" w:hAnsi="Times New Roman;Times;serif"/>
          <w:caps w:val="false"/>
          <w:smallCaps w:val="false"/>
          <w:sz w:val="20"/>
        </w:rPr>
        <w:t>” means any change that is made in, or other events that occur with respect to, the Common Stock subject to the Plan or subject to any Purchase Right after the Effective Date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similar transaction). Notwithstanding the foregoing, the conversion of any convertible securities of the Company shall not be treated as a Capitalization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Code</w:t>
      </w:r>
      <w:r>
        <w:rPr>
          <w:rFonts w:ascii="Times New Roman;Times;serif" w:hAnsi="Times New Roman;Times;serif"/>
          <w:caps w:val="false"/>
          <w:smallCaps w:val="false"/>
          <w:sz w:val="20"/>
        </w:rPr>
        <w:t>” means the Internal Revenue Code of 1986,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(d)</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Committee</w:t>
      </w:r>
      <w:r>
        <w:rPr>
          <w:rFonts w:ascii="Times New Roman;Times;serif" w:hAnsi="Times New Roman;Times;serif"/>
          <w:caps w:val="false"/>
          <w:smallCaps w:val="false"/>
          <w:sz w:val="20"/>
        </w:rPr>
        <w:t>” means a committee of one (1) or more members of the Board to whom authority has been delegated by the Board in accordance with Section 2(c).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(e)</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Common Stock</w:t>
      </w:r>
      <w:r>
        <w:rPr>
          <w:rFonts w:ascii="Times New Roman;Times;serif" w:hAnsi="Times New Roman;Times;serif"/>
          <w:caps w:val="false"/>
          <w:smallCaps w:val="false"/>
          <w:sz w:val="20"/>
        </w:rPr>
        <w:t>” means the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(f)</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Company</w:t>
      </w:r>
      <w:r>
        <w:rPr>
          <w:rFonts w:ascii="Times New Roman;Times;serif" w:hAnsi="Times New Roman;Times;serif"/>
          <w:caps w:val="false"/>
          <w:smallCaps w:val="false"/>
          <w:sz w:val="20"/>
        </w:rPr>
        <w:t>” means Talphera, Inc.,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(g)</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Contributions</w:t>
      </w:r>
      <w:r>
        <w:rPr>
          <w:rFonts w:ascii="Times New Roman;Times;serif" w:hAnsi="Times New Roman;Times;serif"/>
          <w:caps w:val="false"/>
          <w:smallCaps w:val="false"/>
          <w:sz w:val="20"/>
        </w:rPr>
        <w:t>” means the payroll deductions and other additional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(h)</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Corporate Transaction</w:t>
      </w:r>
      <w:r>
        <w:rPr>
          <w:rFonts w:ascii="Times New Roman;Times;serif" w:hAnsi="Times New Roman;Times;serif"/>
          <w:caps w:val="false"/>
          <w:smallCaps w:val="false"/>
          <w:sz w:val="20"/>
        </w:rPr>
        <w:t>” means the occurrence, in a single transaction or in a series of related transactions, of any one or more of the following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w:t>
      </w:r>
      <w:r>
        <w:rPr>
          <w:rFonts w:ascii="Times New Roman;Times;serif" w:hAnsi="Times New Roman;Times;serif"/>
          <w:caps w:val="false"/>
          <w:smallCaps w:val="false"/>
          <w:sz w:val="20"/>
        </w:rPr>
        <w:t>    the consummation of a sale or other disposition of all or substantially all, as determined by the Board in its sole discretion, of the consolidated assets of the Company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(ii)</w:t>
      </w:r>
      <w:r>
        <w:rPr>
          <w:rFonts w:ascii="Times New Roman;Times;serif" w:hAnsi="Times New Roman;Times;serif"/>
          <w:caps w:val="false"/>
          <w:smallCaps w:val="false"/>
          <w:sz w:val="20"/>
        </w:rPr>
        <w:t>    the consummation of a sale or other disposition of at least ninety percent (90%) of the outstanding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(iii)</w:t>
      </w:r>
      <w:r>
        <w:rPr>
          <w:rFonts w:ascii="Times New Roman;Times;serif" w:hAnsi="Times New Roman;Times;serif"/>
          <w:caps w:val="false"/>
          <w:smallCaps w:val="false"/>
          <w:sz w:val="20"/>
        </w:rPr>
        <w:t>    the consummation of a merger, consolidation or similar transaction following which the Company is not the surviving corporation;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(iv)</w:t>
      </w:r>
      <w:r>
        <w:rPr>
          <w:rFonts w:ascii="Times New Roman;Times;serif" w:hAnsi="Times New Roman;Times;serif"/>
          <w:caps w:val="false"/>
          <w:smallCaps w:val="false"/>
          <w:sz w:val="20"/>
        </w:rPr>
        <w:t>    the consummation of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Director</w:t>
      </w:r>
      <w:r>
        <w:rPr>
          <w:rFonts w:ascii="Times New Roman;Times;serif" w:hAnsi="Times New Roman;Times;serif"/>
          <w:caps w:val="false"/>
          <w:smallCaps w:val="false"/>
          <w:sz w:val="20"/>
        </w:rPr>
        <w:t>” means a member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(j)</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Eligible Employee</w:t>
      </w:r>
      <w:r>
        <w:rPr>
          <w:rFonts w:ascii="Times New Roman;Times;serif" w:hAnsi="Times New Roman;Times;serif"/>
          <w:caps w:val="false"/>
          <w:smallCaps w:val="false"/>
          <w:sz w:val="20"/>
        </w:rPr>
        <w:t>” means an Employee who meets the requirements set forth in the Offering for eligibility to participate in the Offering, provided that such Employee also meets the requirements for eligibility to participate set forth in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(k)</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Employee</w:t>
      </w:r>
      <w:r>
        <w:rPr>
          <w:rFonts w:ascii="Times New Roman;Times;serif" w:hAnsi="Times New Roman;Times;serif"/>
          <w:caps w:val="false"/>
          <w:smallCaps w:val="false"/>
          <w:sz w:val="20"/>
        </w:rPr>
        <w:t>” means any person, including Officers and Directors, who is employed for purposes of Section 423(b)(4) of the Code by the Company or a Related Corporation. However, service solely as a Director, or payment of a fee for such services, shall not cause a Director to be considered an “</w:t>
      </w:r>
      <w:r>
        <w:rPr>
          <w:rFonts w:ascii="Times New Roman;Times;serif" w:hAnsi="Times New Roman;Times;serif"/>
          <w:b/>
          <w:i/>
          <w:caps w:val="false"/>
          <w:smallCaps w:val="false"/>
          <w:sz w:val="20"/>
        </w:rPr>
        <w:t>Employee</w:t>
      </w:r>
      <w:r>
        <w:rPr>
          <w:rFonts w:ascii="Times New Roman;Times;serif" w:hAnsi="Times New Roman;Times;serif"/>
          <w:caps w:val="false"/>
          <w:smallCaps w:val="false"/>
          <w:sz w:val="20"/>
        </w:rPr>
        <w:t>” for purposes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Employee Stock Purchase Plan</w:t>
      </w:r>
      <w:r>
        <w:rPr>
          <w:rFonts w:ascii="Times New Roman;Times;serif" w:hAnsi="Times New Roman;Times;serif"/>
          <w:caps w:val="false"/>
          <w:smallCaps w:val="false"/>
          <w:sz w:val="20"/>
        </w:rPr>
        <w:t>” means a plan that grants Purchase Rights intended to be options issued under an “employee stock purchase plan,” as that term is defined in Section 423(b)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(m)</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Exchange Act</w:t>
      </w:r>
      <w:r>
        <w:rPr>
          <w:rFonts w:ascii="Times New Roman;Times;serif" w:hAnsi="Times New Roman;Times;serif"/>
          <w:caps w:val="false"/>
          <w:smallCaps w:val="false"/>
          <w:sz w:val="20"/>
        </w:rPr>
        <w:t>” means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(n)</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Fair Market Value</w:t>
      </w:r>
      <w:r>
        <w:rPr>
          <w:rFonts w:ascii="Times New Roman;Times;serif" w:hAnsi="Times New Roman;Times;serif"/>
          <w:caps w:val="false"/>
          <w:smallCaps w:val="false"/>
          <w:sz w:val="20"/>
        </w:rPr>
        <w:t>” means, as of any date, the value of the Common Stock determined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w:t>
      </w:r>
      <w:r>
        <w:rPr>
          <w:rFonts w:ascii="Times New Roman;Times;serif" w:hAnsi="Times New Roman;Times;serif"/>
          <w:caps w:val="false"/>
          <w:smallCaps w:val="false"/>
          <w:sz w:val="20"/>
        </w:rPr>
        <w:t>    If the Common Stock is listed on any established stock exchange or traded on any established market, the Fair Market Value of a share of Common Stock shall be the closing sales price for such stock as quoted on such exchange or market (or the exchange or market with the greatest volume of trading in the Common Stock) on the date of determination, as reported in such source as the Board deems reliable. Unless otherwise provided by the Board, if there is no closing sales price for the Common Stock on the date of determination, then the Fair Market Value shall be the closing sales price on the last preceding date for which such quotation exists.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(ii)</w:t>
      </w:r>
      <w:r>
        <w:rPr>
          <w:rFonts w:ascii="Times New Roman;Times;serif" w:hAnsi="Times New Roman;Times;serif"/>
          <w:caps w:val="false"/>
          <w:smallCaps w:val="false"/>
          <w:sz w:val="20"/>
        </w:rPr>
        <w:t>    In the absence of such markets for the Common Stock, the Fair Market Value shall be determined by the Board in good faith.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(iii)</w:t>
      </w:r>
      <w:r>
        <w:rPr>
          <w:rFonts w:ascii="Times New Roman;Times;serif" w:hAnsi="Times New Roman;Times;serif"/>
          <w:caps w:val="false"/>
          <w:smallCaps w:val="false"/>
          <w:sz w:val="20"/>
        </w:rPr>
        <w:t>    Notwithstanding the foregoing, for any Offering that commences on the IPO Date, the Fair Market Value of the shares of Common Stock at the time when the Offering commences shall be the price per share at which shares are first sold to the public in the Company’s initial public offering as specified in the final prospectus for that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(o)</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IPO Date</w:t>
      </w:r>
      <w:r>
        <w:rPr>
          <w:rFonts w:ascii="Times New Roman;Times;serif" w:hAnsi="Times New Roman;Times;serif"/>
          <w:caps w:val="false"/>
          <w:smallCaps w:val="false"/>
          <w:sz w:val="20"/>
        </w:rPr>
        <w:t>” means the date of the underwriting agreement between the Company and the underwriter(s) managing the initial public offering of the Common Stock, pursuant to which the Common Stock is priced for the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Offering</w:t>
      </w:r>
      <w:r>
        <w:rPr>
          <w:rFonts w:ascii="Times New Roman;Times;serif" w:hAnsi="Times New Roman;Times;serif"/>
          <w:caps w:val="false"/>
          <w:smallCaps w:val="false"/>
          <w:sz w:val="20"/>
        </w:rPr>
        <w:t>” means the grant of Purchase Rights to purchase shares of Common Stock under the Plan to Eligible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(q)</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Offering Date</w:t>
      </w:r>
      <w:r>
        <w:rPr>
          <w:rFonts w:ascii="Times New Roman;Times;serif" w:hAnsi="Times New Roman;Times;serif"/>
          <w:caps w:val="false"/>
          <w:smallCaps w:val="false"/>
          <w:sz w:val="20"/>
        </w:rPr>
        <w:t>” means a date selected by the Board for an Offering to commence.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Officer</w:t>
      </w:r>
      <w:r>
        <w:rPr>
          <w:rFonts w:ascii="Times New Roman;Times;serif" w:hAnsi="Times New Roman;Times;serif"/>
          <w:caps w:val="false"/>
          <w:smallCaps w:val="false"/>
          <w:sz w:val="20"/>
        </w:rPr>
        <w:t>” means a person who is an officer of the Company within the meaning of Section 16 of the Exchange Act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Participant</w:t>
      </w:r>
      <w:r>
        <w:rPr>
          <w:rFonts w:ascii="Times New Roman;Times;serif" w:hAnsi="Times New Roman;Times;serif"/>
          <w:caps w:val="false"/>
          <w:smallCaps w:val="false"/>
          <w:sz w:val="20"/>
        </w:rPr>
        <w:t>” means an Eligible Employee who holds an outstanding Purchase Right granted pursuant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Plan</w:t>
      </w:r>
      <w:r>
        <w:rPr>
          <w:rFonts w:ascii="Times New Roman;Times;serif" w:hAnsi="Times New Roman;Times;serif"/>
          <w:caps w:val="false"/>
          <w:smallCaps w:val="false"/>
          <w:sz w:val="20"/>
        </w:rPr>
        <w:t>” means this Talphera, Inc. 2011 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(u)</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Purchase Date</w:t>
      </w:r>
      <w:r>
        <w:rPr>
          <w:rFonts w:ascii="Times New Roman;Times;serif" w:hAnsi="Times New Roman;Times;serif"/>
          <w:caps w:val="false"/>
          <w:smallCaps w:val="false"/>
          <w:sz w:val="20"/>
        </w:rPr>
        <w:t>” means one or more dates during an Offering established by the Board on which Purchase Rights shall be exercised and as of which purchases of shares of Common Stock shall be carried out in accordance with such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(v)</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Purchase Period</w:t>
      </w:r>
      <w:r>
        <w:rPr>
          <w:rFonts w:ascii="Times New Roman;Times;serif" w:hAnsi="Times New Roman;Times;serif"/>
          <w:caps w:val="false"/>
          <w:smallCaps w:val="false"/>
          <w:sz w:val="20"/>
        </w:rPr>
        <w:t>” means a period of time specified within an Offering beginning on the Offering Date or on the next day following a Purchase Date within an Offering and ending on a Purchase Date. An Offering may consist of one or more Purchase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(w)</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Purchase Right</w:t>
      </w:r>
      <w:r>
        <w:rPr>
          <w:rFonts w:ascii="Times New Roman;Times;serif" w:hAnsi="Times New Roman;Times;serif"/>
          <w:caps w:val="false"/>
          <w:smallCaps w:val="false"/>
          <w:sz w:val="20"/>
        </w:rPr>
        <w:t>” means an option to purchase shares of Common Stock granted pursuant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(x)</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Related Corporation</w:t>
      </w:r>
      <w:r>
        <w:rPr>
          <w:rFonts w:ascii="Times New Roman;Times;serif" w:hAnsi="Times New Roman;Times;serif"/>
          <w:caps w:val="false"/>
          <w:smallCaps w:val="false"/>
          <w:sz w:val="20"/>
        </w:rPr>
        <w:t>” means any “parent corporation” or “subsidiary corporation” of the Company whether now or subsequently established, as those terms are defined in Sections 424(e) and (f), respectively,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(y)</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Securities Act</w:t>
      </w:r>
      <w:r>
        <w:rPr>
          <w:rFonts w:ascii="Times New Roman;Times;serif" w:hAnsi="Times New Roman;Times;serif"/>
          <w:caps w:val="false"/>
          <w:smallCaps w:val="false"/>
          <w:sz w:val="20"/>
        </w:rPr>
        <w:t>” means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(z)</w:t>
      </w:r>
      <w:r>
        <w:rPr>
          <w:rFonts w:ascii="Times New Roman;Times;serif" w:hAnsi="Times New Roman;Times;serif"/>
          <w:caps w:val="false"/>
          <w:smallCaps w:val="false"/>
          <w:sz w:val="20"/>
        </w:rPr>
        <w:t>    “</w:t>
      </w:r>
      <w:r>
        <w:rPr>
          <w:rFonts w:ascii="Times New Roman;Times;serif" w:hAnsi="Times New Roman;Times;serif"/>
          <w:b/>
          <w:i/>
          <w:caps w:val="false"/>
          <w:smallCaps w:val="false"/>
          <w:sz w:val="20"/>
        </w:rPr>
        <w:t>Trading Day</w:t>
      </w:r>
      <w:r>
        <w:rPr>
          <w:rFonts w:ascii="Times New Roman;Times;serif" w:hAnsi="Times New Roman;Times;serif"/>
          <w:caps w:val="false"/>
          <w:smallCaps w:val="false"/>
          <w:sz w:val="20"/>
        </w:rPr>
        <w:t>” means any day on which the exchange(s) or market(s) on which shares of Common Stock are listed, including the NYSE, Nasdaq Global Select Market, the Nasdaq Global Market, or the Nasdaq Capital Market, is open for trading.</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center"/>
        <w:rPr>
          <w:rFonts w:ascii="Times New Roman" w:hAnsi="Times New Roman"/>
          <w:sz w:val="20"/>
        </w:rPr>
      </w:pPr>
      <w:r>
        <w:rPr>
          <w:rFonts w:ascii="Times New Roman" w:hAnsi="Times New Roman"/>
          <w:sz w:val="20"/>
        </w:rPr>
        <w:t>11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25257</Words>
  <Characters>130159</Characters>
  <CharactersWithSpaces>156399</CharactersWithSpaces>
  <Paragraphs>1342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