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crx20260331_10q.htm"/>
      <w:bookmarkStart w:id="1" w:name="ksacrx20260331_10q"/>
      <w:bookmarkEnd w:id="0"/>
      <w:bookmarkEnd w:id="1"/>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 xml:space="preserve">UNITED STATES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 xml:space="preserve">FORM 10-Q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ind w:left="0" w:right="0" w:hanging="0"/>
              <w:jc w:val="left"/>
              <w:rPr/>
            </w:pPr>
            <w:r>
              <w:rPr/>
              <w:t xml:space="preserve">☒ </w:t>
            </w:r>
          </w:p>
        </w:tc>
        <w:tc>
          <w:tcPr>
            <w:tcW w:w="99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quarterly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ind w:left="0" w:right="0" w:hanging="0"/>
              <w:jc w:val="left"/>
              <w:rPr/>
            </w:pPr>
            <w:r>
              <w:rPr/>
              <w:t xml:space="preserve">☐ </w:t>
            </w:r>
          </w:p>
        </w:tc>
        <w:tc>
          <w:tcPr>
            <w:tcW w:w="99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 xml:space="preserve">For the transition period from </w:t>
      </w:r>
      <w:r>
        <w:rPr>
          <w:rFonts w:ascii="Times New Roman" w:hAnsi="Times New Roman"/>
          <w:caps w:val="false"/>
          <w:smallCaps w:val="false"/>
          <w:sz w:val="18"/>
        </w:rPr>
        <w:t xml:space="preserve">             </w:t>
      </w:r>
      <w:r>
        <w:rPr>
          <w:rFonts w:ascii="Times New Roman" w:hAnsi="Times New Roman"/>
          <w:b/>
          <w:caps w:val="false"/>
          <w:smallCaps w:val="false"/>
          <w:sz w:val="18"/>
        </w:rPr>
        <w:t xml:space="preserve">to </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Commission File Number: 001-35068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TALPHERA,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w:t>
      </w:r>
      <w:r>
        <w:rPr>
          <w:rFonts w:ascii="Times New Roman" w:hAnsi="Times New Roman"/>
          <w:b/>
          <w:caps w:val="false"/>
          <w:smallCaps w:val="false"/>
          <w:sz w:val="18"/>
        </w:rPr>
        <w:t>a</w:t>
      </w:r>
      <w:r>
        <w:rPr>
          <w:rFonts w:ascii="Times New Roman" w:hAnsi="Times New Roman"/>
          <w:b/>
          <w:caps w:val="false"/>
          <w:smallCaps w:val="false"/>
          <w:sz w:val="20"/>
        </w:rPr>
        <w:t xml:space="preserve">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270"/>
        <w:gridCol w:w="1355"/>
      </w:tblGrid>
      <w:tr>
        <w:trPr/>
        <w:tc>
          <w:tcPr>
            <w:tcW w:w="22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135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41-2193603</w:t>
            </w:r>
          </w:p>
        </w:tc>
      </w:tr>
      <w:tr>
        <w:trPr/>
        <w:tc>
          <w:tcPr>
            <w:tcW w:w="227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(State or other jurisdiction of</w:t>
            </w:r>
            <w:r>
              <w:rPr>
                <w:rFonts w:ascii="Times New Roman" w:hAnsi="Times New Roman"/>
                <w:caps w:val="false"/>
                <w:smallCaps w:val="false"/>
                <w:sz w:val="16"/>
              </w:rPr>
              <w:br/>
            </w:r>
            <w:r>
              <w:rPr>
                <w:rFonts w:ascii="Times New Roman" w:hAnsi="Times New Roman"/>
                <w:b/>
                <w:caps w:val="false"/>
                <w:smallCaps w:val="false"/>
                <w:sz w:val="16"/>
              </w:rPr>
              <w:t>incorporation or organization)</w:t>
            </w:r>
          </w:p>
        </w:tc>
        <w:tc>
          <w:tcPr>
            <w:tcW w:w="1355"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(IRS Employer</w:t>
            </w:r>
            <w:r>
              <w:rPr>
                <w:rFonts w:ascii="Times New Roman" w:hAnsi="Times New Roman"/>
                <w:caps w:val="false"/>
                <w:smallCaps w:val="false"/>
                <w:sz w:val="16"/>
              </w:rPr>
              <w:br/>
            </w:r>
            <w:r>
              <w:rPr>
                <w:rFonts w:ascii="Times New Roman" w:hAnsi="Times New Roman"/>
                <w:b/>
                <w:caps w:val="false"/>
                <w:smallCaps w:val="false"/>
                <w:sz w:val="16"/>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1850 Gateway Drive, Suite 175</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San Mateo, CA 94404</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(650) 216-3500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(Address, including zip code, and telephone number, including area code, of registrant</w:t>
      </w:r>
      <w:r>
        <w:rPr>
          <w:rFonts w:ascii="Times New Roman" w:hAnsi="Times New Roman"/>
          <w:caps w:val="false"/>
          <w:smallCaps w:val="false"/>
          <w:sz w:val="16"/>
        </w:rPr>
        <w:t>’</w:t>
      </w:r>
      <w:r>
        <w:rPr>
          <w:rFonts w:ascii="Times New Roman" w:hAnsi="Times New Roman"/>
          <w:b/>
          <w:caps w:val="false"/>
          <w:smallCaps w:val="false"/>
          <w:sz w:val="16"/>
        </w:rPr>
        <w:t xml:space="preserve">s principal executive offices)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2570"/>
        <w:gridCol w:w="1340"/>
        <w:gridCol w:w="3395"/>
      </w:tblGrid>
      <w:tr>
        <w:trPr/>
        <w:tc>
          <w:tcPr>
            <w:tcW w:w="2570" w:type="dxa"/>
            <w:tcBorders/>
            <w:vAlign w:val="center"/>
          </w:tcPr>
          <w:p>
            <w:pPr>
              <w:pStyle w:val="TableContents"/>
              <w:bidi w:val="0"/>
              <w:spacing w:before="0" w:after="0"/>
              <w:ind w:left="0" w:right="0" w:hanging="0"/>
              <w:jc w:val="center"/>
              <w:rPr>
                <w:rFonts w:ascii="Times New Roman" w:hAnsi="Times New Roman"/>
                <w:b/>
                <w:caps w:val="false"/>
                <w:smallCaps w:val="false"/>
                <w:sz w:val="16"/>
                <w:u w:val="single"/>
              </w:rPr>
            </w:pPr>
            <w:r>
              <w:rPr>
                <w:rFonts w:ascii="Times New Roman" w:hAnsi="Times New Roman"/>
                <w:b/>
                <w:caps w:val="false"/>
                <w:smallCaps w:val="false"/>
                <w:sz w:val="16"/>
                <w:u w:val="single"/>
              </w:rPr>
              <w:t>Title ofEach Class</w:t>
            </w:r>
          </w:p>
        </w:tc>
        <w:tc>
          <w:tcPr>
            <w:tcW w:w="1340" w:type="dxa"/>
            <w:tcBorders/>
            <w:vAlign w:val="center"/>
          </w:tcPr>
          <w:p>
            <w:pPr>
              <w:pStyle w:val="TableContents"/>
              <w:bidi w:val="0"/>
              <w:spacing w:before="0" w:after="0"/>
              <w:ind w:left="0" w:right="0" w:hanging="0"/>
              <w:jc w:val="center"/>
              <w:rPr>
                <w:rFonts w:ascii="Times New Roman" w:hAnsi="Times New Roman"/>
                <w:b/>
                <w:caps w:val="false"/>
                <w:smallCaps w:val="false"/>
                <w:sz w:val="16"/>
                <w:u w:val="single"/>
              </w:rPr>
            </w:pPr>
            <w:r>
              <w:rPr>
                <w:rFonts w:ascii="Times New Roman" w:hAnsi="Times New Roman"/>
                <w:b/>
                <w:caps w:val="false"/>
                <w:smallCaps w:val="false"/>
                <w:sz w:val="16"/>
                <w:u w:val="single"/>
              </w:rPr>
              <w:t>Trading symbol(s)</w:t>
            </w:r>
          </w:p>
        </w:tc>
        <w:tc>
          <w:tcPr>
            <w:tcW w:w="3395" w:type="dxa"/>
            <w:tcBorders/>
            <w:vAlign w:val="center"/>
          </w:tcPr>
          <w:p>
            <w:pPr>
              <w:pStyle w:val="TableContents"/>
              <w:bidi w:val="0"/>
              <w:spacing w:before="0" w:after="0"/>
              <w:ind w:left="0" w:right="0" w:hanging="0"/>
              <w:jc w:val="center"/>
              <w:rPr>
                <w:rFonts w:ascii="Times New Roman" w:hAnsi="Times New Roman"/>
                <w:b/>
                <w:caps w:val="false"/>
                <w:smallCaps w:val="false"/>
                <w:sz w:val="16"/>
                <w:u w:val="single"/>
              </w:rPr>
            </w:pPr>
            <w:r>
              <w:rPr>
                <w:rFonts w:ascii="Times New Roman" w:hAnsi="Times New Roman"/>
                <w:b/>
                <w:caps w:val="false"/>
                <w:smallCaps w:val="false"/>
                <w:sz w:val="16"/>
                <w:u w:val="single"/>
              </w:rPr>
              <w:t>Name of Each Exchange on Which Registered:</w:t>
            </w:r>
          </w:p>
        </w:tc>
      </w:tr>
      <w:tr>
        <w:trPr/>
        <w:tc>
          <w:tcPr>
            <w:tcW w:w="257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 Stock, $0.001 par value</w:t>
            </w:r>
          </w:p>
        </w:tc>
        <w:tc>
          <w:tcPr>
            <w:tcW w:w="13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TLPH</w:t>
            </w:r>
          </w:p>
        </w:tc>
        <w:tc>
          <w:tcPr>
            <w:tcW w:w="339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1970"/>
        <w:gridCol w:w="230"/>
        <w:gridCol w:w="1940"/>
        <w:gridCol w:w="245"/>
      </w:tblGrid>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Accelerated filer</w:t>
            </w:r>
          </w:p>
        </w:tc>
        <w:tc>
          <w:tcPr>
            <w:tcW w:w="245" w:type="dxa"/>
            <w:tcBorders/>
            <w:vAlign w:val="center"/>
          </w:tcPr>
          <w:p>
            <w:pPr>
              <w:pStyle w:val="TableContents"/>
              <w:bidi w:val="0"/>
              <w:spacing w:before="0" w:after="283"/>
              <w:jc w:val="left"/>
              <w:rPr/>
            </w:pPr>
            <w:r>
              <w:rPr/>
              <w:t>☐</w:t>
            </w:r>
          </w:p>
        </w:tc>
      </w:tr>
      <w:tr>
        <w:trPr/>
        <w:tc>
          <w:tcPr>
            <w:tcW w:w="19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Smaller reporting company</w:t>
            </w:r>
          </w:p>
        </w:tc>
        <w:tc>
          <w:tcPr>
            <w:tcW w:w="2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Exchange Act Rule 12b-2)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18"/>
        </w:rPr>
      </w:pPr>
      <w:r>
        <w:rPr>
          <w:rFonts w:ascii="Times New Roman" w:hAnsi="Times New Roman"/>
          <w:caps w:val="false"/>
          <w:smallCaps w:val="false"/>
          <w:sz w:val="18"/>
        </w:rPr>
        <w:t>As of May 7, 2026, the number of outstanding shares of the registrant’s common stock was 51,899,648.</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QUARTERLY REPORT ON FORM 10-Q FOR THE QUARTER ENDED MARCH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7"/>
        <w:gridCol w:w="8240"/>
        <w:gridCol w:w="578"/>
      </w:tblGrid>
      <w:tr>
        <w:trPr/>
        <w:tc>
          <w:tcPr>
            <w:tcW w:w="6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t> </w:t>
            </w:r>
          </w:p>
        </w:tc>
      </w:tr>
      <w:tr>
        <w:trPr/>
        <w:tc>
          <w:tcPr>
            <w:tcW w:w="9627" w:type="dxa"/>
            <w:gridSpan w:val="3"/>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 xml:space="preserve">I. FINANCIAL INFORMATION </w:t>
            </w:r>
            <w:r>
              <w:rPr>
                <w:rFonts w:ascii="Times New Roman" w:hAnsi="Times New Roman"/>
                <w:caps w:val="false"/>
                <w:smallCaps w:val="false"/>
                <w:sz w:val="20"/>
              </w:rPr>
              <w:t>         </w:t>
            </w:r>
          </w:p>
        </w:tc>
        <w:tc>
          <w:tcPr>
            <w:tcW w:w="578" w:type="dxa"/>
            <w:tcBorders/>
            <w:shd w:fill="CCEEFF" w:val="cle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Financial Statements         </w:t>
            </w:r>
          </w:p>
        </w:tc>
        <w:tc>
          <w:tcPr>
            <w:tcW w:w="578" w:type="dxa"/>
            <w:tcBorders/>
            <w:shd w:fill="CCEEFF" w:val="cle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 as of March 31, 2026 and December 31, 2025 (unaudited)         </w:t>
            </w:r>
          </w:p>
        </w:tc>
        <w:tc>
          <w:tcPr>
            <w:tcW w:w="578" w:type="dxa"/>
            <w:tcBorders/>
            <w:shd w:fill="CCEEFF" w:val="cle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Operations for the three months ended March 31, 2026 and 2025 (unaudited)         </w:t>
            </w:r>
          </w:p>
        </w:tc>
        <w:tc>
          <w:tcPr>
            <w:tcW w:w="578" w:type="dxa"/>
            <w:tcBorders/>
            <w:shd w:fill="CCEEFF" w:val="clear"/>
            <w:vAlign w:val="center"/>
          </w:tcPr>
          <w:p>
            <w:pPr>
              <w:pStyle w:val="TableContents"/>
              <w:bidi w:val="0"/>
              <w:spacing w:before="0" w:after="283"/>
              <w:jc w:val="right"/>
              <w:rPr/>
            </w:pPr>
            <w:r>
              <w:rPr/>
              <w:t>6</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 for the three months ended March 31, 2026 and 2025 (unaudited)         </w:t>
            </w:r>
          </w:p>
        </w:tc>
        <w:tc>
          <w:tcPr>
            <w:tcW w:w="578" w:type="dxa"/>
            <w:tcBorders/>
            <w:shd w:fill="CCEEFF" w:val="clear"/>
            <w:vAlign w:val="center"/>
          </w:tcPr>
          <w:p>
            <w:pPr>
              <w:pStyle w:val="TableContents"/>
              <w:bidi w:val="0"/>
              <w:spacing w:before="0" w:after="283"/>
              <w:jc w:val="right"/>
              <w:rPr/>
            </w:pPr>
            <w:r>
              <w:rPr/>
              <w:t>7</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 for the three months ended March 31, 2026 and 2025 (unaudited)         </w:t>
            </w:r>
          </w:p>
        </w:tc>
        <w:tc>
          <w:tcPr>
            <w:tcW w:w="578" w:type="dxa"/>
            <w:tcBorders/>
            <w:shd w:fill="CCEEFF" w:val="clear"/>
            <w:vAlign w:val="center"/>
          </w:tcPr>
          <w:p>
            <w:pPr>
              <w:pStyle w:val="TableContents"/>
              <w:bidi w:val="0"/>
              <w:spacing w:before="0" w:after="283"/>
              <w:jc w:val="right"/>
              <w:rPr/>
            </w:pPr>
            <w:r>
              <w:rPr/>
              <w:t>8</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 (unaudited)         </w:t>
            </w:r>
          </w:p>
        </w:tc>
        <w:tc>
          <w:tcPr>
            <w:tcW w:w="578" w:type="dxa"/>
            <w:tcBorders/>
            <w:shd w:fill="CCEEFF" w:val="clear"/>
            <w:vAlign w:val="center"/>
          </w:tcPr>
          <w:p>
            <w:pPr>
              <w:pStyle w:val="TableContents"/>
              <w:bidi w:val="0"/>
              <w:spacing w:before="0" w:after="283"/>
              <w:jc w:val="right"/>
              <w:rPr/>
            </w:pPr>
            <w:r>
              <w:rPr/>
              <w:t>9</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2.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         </w:t>
            </w:r>
          </w:p>
        </w:tc>
        <w:tc>
          <w:tcPr>
            <w:tcW w:w="578" w:type="dxa"/>
            <w:tcBorders/>
            <w:shd w:fill="CCEEFF" w:val="clear"/>
            <w:vAlign w:val="center"/>
          </w:tcPr>
          <w:p>
            <w:pPr>
              <w:pStyle w:val="TableContents"/>
              <w:bidi w:val="0"/>
              <w:spacing w:before="0" w:after="283"/>
              <w:jc w:val="right"/>
              <w:rPr/>
            </w:pPr>
            <w:r>
              <w:rPr/>
              <w:t>17</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3.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         </w:t>
            </w:r>
          </w:p>
        </w:tc>
        <w:tc>
          <w:tcPr>
            <w:tcW w:w="578" w:type="dxa"/>
            <w:tcBorders/>
            <w:shd w:fill="CCEEFF" w:val="clear"/>
            <w:vAlign w:val="center"/>
          </w:tcPr>
          <w:p>
            <w:pPr>
              <w:pStyle w:val="TableContents"/>
              <w:bidi w:val="0"/>
              <w:spacing w:before="0" w:after="283"/>
              <w:jc w:val="right"/>
              <w:rPr/>
            </w:pPr>
            <w:r>
              <w:rPr/>
              <w:t>22</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4.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Controls and Procedures         </w:t>
            </w:r>
          </w:p>
        </w:tc>
        <w:tc>
          <w:tcPr>
            <w:tcW w:w="578" w:type="dxa"/>
            <w:tcBorders/>
            <w:shd w:fill="CCEEFF" w:val="clear"/>
            <w:vAlign w:val="center"/>
          </w:tcPr>
          <w:p>
            <w:pPr>
              <w:pStyle w:val="TableContents"/>
              <w:bidi w:val="0"/>
              <w:spacing w:before="0" w:after="283"/>
              <w:jc w:val="right"/>
              <w:rPr/>
            </w:pPr>
            <w:r>
              <w:rPr/>
              <w:t>22</w:t>
            </w:r>
          </w:p>
        </w:tc>
      </w:tr>
      <w:tr>
        <w:trPr/>
        <w:tc>
          <w:tcPr>
            <w:tcW w:w="9627" w:type="dxa"/>
            <w:gridSpan w:val="3"/>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9627" w:type="dxa"/>
            <w:gridSpan w:val="3"/>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b/>
                <w:caps w:val="false"/>
                <w:smallCaps w:val="false"/>
                <w:sz w:val="20"/>
              </w:rPr>
              <w:t xml:space="preserve">PART II. OTHER INFORMATION </w:t>
            </w:r>
            <w:r>
              <w:rPr>
                <w:rFonts w:ascii="Times New Roman" w:hAnsi="Times New Roman"/>
                <w:caps w:val="false"/>
                <w:smallCaps w:val="false"/>
                <w:sz w:val="20"/>
              </w:rPr>
              <w:t>         </w:t>
            </w:r>
          </w:p>
        </w:tc>
        <w:tc>
          <w:tcPr>
            <w:tcW w:w="578" w:type="dxa"/>
            <w:tcBorders/>
            <w:shd w:fill="CCEEFF" w:val="clear"/>
            <w:vAlign w:val="center"/>
          </w:tcPr>
          <w:p>
            <w:pPr>
              <w:pStyle w:val="TableContents"/>
              <w:bidi w:val="0"/>
              <w:spacing w:before="0" w:after="283"/>
              <w:jc w:val="right"/>
              <w:rPr/>
            </w:pPr>
            <w:r>
              <w:rPr/>
              <w:t>22</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Legal Proceedings         </w:t>
            </w:r>
          </w:p>
        </w:tc>
        <w:tc>
          <w:tcPr>
            <w:tcW w:w="578" w:type="dxa"/>
            <w:tcBorders/>
            <w:shd w:fill="CCEEFF" w:val="clear"/>
            <w:vAlign w:val="center"/>
          </w:tcPr>
          <w:p>
            <w:pPr>
              <w:pStyle w:val="TableContents"/>
              <w:bidi w:val="0"/>
              <w:spacing w:before="0" w:after="283"/>
              <w:jc w:val="right"/>
              <w:rPr/>
            </w:pPr>
            <w:r>
              <w:rPr/>
              <w:t>22</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1A.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Risk Factors         </w:t>
            </w:r>
          </w:p>
        </w:tc>
        <w:tc>
          <w:tcPr>
            <w:tcW w:w="578" w:type="dxa"/>
            <w:tcBorders/>
            <w:shd w:fill="CCEEFF" w:val="clear"/>
            <w:vAlign w:val="center"/>
          </w:tcPr>
          <w:p>
            <w:pPr>
              <w:pStyle w:val="TableContents"/>
              <w:bidi w:val="0"/>
              <w:spacing w:before="0" w:after="283"/>
              <w:jc w:val="right"/>
              <w:rPr/>
            </w:pPr>
            <w:r>
              <w:rPr/>
              <w:t>23</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2.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Unregistered Sales of Equity Securities and Use of Proceeds         </w:t>
            </w:r>
          </w:p>
        </w:tc>
        <w:tc>
          <w:tcPr>
            <w:tcW w:w="578" w:type="dxa"/>
            <w:tcBorders/>
            <w:shd w:fill="CCEEFF" w:val="clear"/>
            <w:vAlign w:val="center"/>
          </w:tcPr>
          <w:p>
            <w:pPr>
              <w:pStyle w:val="TableContents"/>
              <w:bidi w:val="0"/>
              <w:spacing w:before="0" w:after="283"/>
              <w:jc w:val="right"/>
              <w:rPr/>
            </w:pPr>
            <w:r>
              <w:rPr/>
              <w:t>48</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3.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Defaults Upon Senior Securities         </w:t>
            </w:r>
          </w:p>
        </w:tc>
        <w:tc>
          <w:tcPr>
            <w:tcW w:w="578" w:type="dxa"/>
            <w:tcBorders/>
            <w:shd w:fill="CCEEFF" w:val="clear"/>
            <w:vAlign w:val="center"/>
          </w:tcPr>
          <w:p>
            <w:pPr>
              <w:pStyle w:val="TableContents"/>
              <w:bidi w:val="0"/>
              <w:spacing w:before="0" w:after="283"/>
              <w:jc w:val="right"/>
              <w:rPr/>
            </w:pPr>
            <w:r>
              <w:rPr/>
              <w:t>48</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4.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Mine Safety Disclosures         </w:t>
            </w:r>
          </w:p>
        </w:tc>
        <w:tc>
          <w:tcPr>
            <w:tcW w:w="578" w:type="dxa"/>
            <w:tcBorders/>
            <w:shd w:fill="CCEEFF" w:val="clear"/>
            <w:vAlign w:val="center"/>
          </w:tcPr>
          <w:p>
            <w:pPr>
              <w:pStyle w:val="TableContents"/>
              <w:bidi w:val="0"/>
              <w:spacing w:before="0" w:after="283"/>
              <w:jc w:val="right"/>
              <w:rPr/>
            </w:pPr>
            <w:r>
              <w:rPr/>
              <w:t>48</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5.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Other Information         </w:t>
            </w:r>
          </w:p>
        </w:tc>
        <w:tc>
          <w:tcPr>
            <w:tcW w:w="578" w:type="dxa"/>
            <w:tcBorders/>
            <w:shd w:fill="CCEEFF" w:val="clear"/>
            <w:vAlign w:val="center"/>
          </w:tcPr>
          <w:p>
            <w:pPr>
              <w:pStyle w:val="TableContents"/>
              <w:bidi w:val="0"/>
              <w:spacing w:before="0" w:after="283"/>
              <w:jc w:val="right"/>
              <w:rPr/>
            </w:pPr>
            <w:r>
              <w:rPr/>
              <w:t>48</w:t>
            </w:r>
          </w:p>
        </w:tc>
      </w:tr>
      <w:tr>
        <w:trPr/>
        <w:tc>
          <w:tcPr>
            <w:tcW w:w="6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824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Item 6.             </w:t>
            </w:r>
          </w:p>
        </w:tc>
        <w:tc>
          <w:tcPr>
            <w:tcW w:w="8240" w:type="dxa"/>
            <w:tcBorders/>
            <w:shd w:fill="CCEEFF" w:val="clear"/>
            <w:vAlign w:val="center"/>
          </w:tcPr>
          <w:p>
            <w:pPr>
              <w:pStyle w:val="TableContents"/>
              <w:bidi w:val="0"/>
              <w:spacing w:before="0" w:after="0"/>
              <w:ind w:left="240" w:right="0" w:hanging="240"/>
              <w:jc w:val="left"/>
              <w:rPr>
                <w:rFonts w:ascii="Times New Roman" w:hAnsi="Times New Roman"/>
                <w:caps w:val="false"/>
                <w:smallCaps w:val="false"/>
                <w:sz w:val="20"/>
              </w:rPr>
            </w:pPr>
            <w:r>
              <w:rPr>
                <w:rFonts w:ascii="Times New Roman" w:hAnsi="Times New Roman"/>
                <w:caps w:val="false"/>
                <w:smallCaps w:val="false"/>
                <w:sz w:val="20"/>
              </w:rPr>
              <w:t>Exhibits         </w:t>
            </w:r>
          </w:p>
        </w:tc>
        <w:tc>
          <w:tcPr>
            <w:tcW w:w="578" w:type="dxa"/>
            <w:tcBorders/>
            <w:shd w:fill="CCEEFF" w:val="clear"/>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the context indicates otherwise, the terms “Talphera,” “we,” “us” and “our” refer to Talphera, Inc., and its consolidated subsidiary. “Niyad” and “Fedsyra” are trademarks, and “Zalviso” are registered trademarks, all owned by Talphera, Inc. This Quarterly Report also contains trademarks and trade names that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Quarterly Report on Form 10-Q, or Form 10-Q, contains “forward-looking statements” within the meaning of Section 21E of the Securities Exchange Act of 1934, as amended, or the Exchange Act, which are subject to the “safe harbor” created by that section. The forward-looking statements in this Form 10-Q are contained principally under “Part I. Financial Information - Item 2. Management’s Discussion and Analysis of Financial Condition and Results of Operations” and “Part II. Other Information - Item 1A. Risk Factors”.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Form 10-Q, we caution you that these statements are based on a combination of facts and factors currently known by us and our projections of the future, about which we cannot be certain. Many important factors affect our ability to achieve our objectives, including:</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60"/>
        <w:gridCol w:w="110"/>
        <w:gridCol w:w="7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additional required financing and to continue as a going concern;</w:t>
            </w:r>
          </w:p>
        </w:tc>
      </w:tr>
    </w:tbl>
    <w:p>
      <w:pPr>
        <w:pStyle w:val="TextBody"/>
        <w:bidi w:val="0"/>
        <w:spacing w:before="0" w:after="0"/>
        <w:ind w:left="0" w:right="0" w:hanging="0"/>
        <w:jc w:val="left"/>
        <w:rPr/>
      </w:pPr>
      <w:r>
        <w:rPr/>
        <w:t> </w:t>
      </w:r>
    </w:p>
    <w:tbl>
      <w:tblPr>
        <w:tblW w:w="6640" w:type="dxa"/>
        <w:jc w:val="left"/>
        <w:tblInd w:w="0" w:type="dxa"/>
        <w:tblLayout w:type="fixed"/>
        <w:tblCellMar>
          <w:top w:w="0" w:type="dxa"/>
          <w:left w:w="0" w:type="dxa"/>
          <w:bottom w:w="0" w:type="dxa"/>
          <w:right w:w="0" w:type="dxa"/>
        </w:tblCellMar>
      </w:tblPr>
      <w:tblGrid>
        <w:gridCol w:w="60"/>
        <w:gridCol w:w="110"/>
        <w:gridCol w:w="64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listing of our securities trading on the Nasdaq exchange;</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manage our operating costs and reduce our cash burn;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accuracy of our estimates regarding the sufficiency of our cash resources, future revenues, expenses, and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110"/>
        <w:gridCol w:w="7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historical performance and high volatility in the market price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macroeconomic uncertainties, including tariffs, inflationary pressures, domestic and global supply chain disruptions, labor shortages, significant volatility in global markets, and recession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conduct ourselves, or through a contract research organization, clinical trials in a timely and effective manner to advance the development of our product candidates, including our lead nafamostat developmental product candidate, Niyad®;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file for and obtain regulatory approval for, and then successfully launch and commercialize our developmental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size and growth potential of the potential markets for our developmental product candidates in the United States and in other jurisdictions, and our ability to serve those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estimates of the existence of, and commercial potential for, markets for our developmental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develop sales and marketing capabilities in a timely fashion, whether alone through recruiting qualified employees, by engaging a contract sales organization, or with potential future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establishing and maintaining commercial manufacturing and supply chain relationships with domestic and global third-party service providers, including single sources of supply for Niyad active pharmaceutical ingredients and finished goods located outside the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manage effectively, and the impact of any costs associated with, potential governmental investigations, inquiries, regulatory actions or lawsuits that may be, or have been, brought against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adequate government or third-party payer reimbursement for our developmental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gain access to formularies and establish and then maintain effective relationships with pharmaceutical benefit managers and/or group purchasing organizations for our developmental product candidates, if approved;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995" w:type="dxa"/>
        <w:jc w:val="left"/>
        <w:tblInd w:w="0" w:type="dxa"/>
        <w:tblLayout w:type="fixed"/>
        <w:tblCellMar>
          <w:top w:w="0" w:type="dxa"/>
          <w:left w:w="0" w:type="dxa"/>
          <w:bottom w:w="0" w:type="dxa"/>
          <w:right w:w="0" w:type="dxa"/>
        </w:tblCellMar>
      </w:tblPr>
      <w:tblGrid>
        <w:gridCol w:w="60"/>
        <w:gridCol w:w="110"/>
        <w:gridCol w:w="8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additional collaborators with development, regulatory and commercialization expertise;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identify and secure potential strategic partners to develop, secure regulatory approval for and then commercialize our developmental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retain our key commercial, scientific, engineering, medical or management personnel and hire new personnel as needed;</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10"/>
        <w:gridCol w:w="8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and future legislation and other regulatory developments in the United States and foreign countries;</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10"/>
        <w:gridCol w:w="97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our third-party suppliers and manufacturers, including any supply chain impacts or work limitations;</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10"/>
        <w:gridCol w:w="5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competing therapies that are or become available; and</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110"/>
        <w:gridCol w:w="9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and maintain intellectual property protection for our approved products and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you should refer to “Part II. Other Information - Item 1A. Risk Factors” in this Form 10-Q for a discussion of these and other important factors that may cause our actual results to differ materially from those expressed or implied by our forward-looking statements. As a result of these factors, we cannot assure you that the forward-looking statements in this Form 10-Q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Also, forward-looking statements represent our estimates and assumptions only as of the date of this Form 10-Q. We undertake no obligation to publicly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PART I. FINANCIAL INFORMATION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 Financial Statements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0"/>
        <w:gridCol w:w="60"/>
        <w:gridCol w:w="149"/>
        <w:gridCol w:w="904"/>
        <w:gridCol w:w="80"/>
        <w:gridCol w:w="60"/>
        <w:gridCol w:w="175"/>
        <w:gridCol w:w="1064"/>
        <w:gridCol w:w="83"/>
      </w:tblGrid>
      <w:tr>
        <w:trPr/>
        <w:tc>
          <w:tcPr>
            <w:tcW w:w="7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9"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2025(1)</w:t>
            </w:r>
          </w:p>
        </w:tc>
        <w:tc>
          <w:tcPr>
            <w:tcW w:w="83" w:type="dxa"/>
            <w:tcBorders/>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20,900</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In-process research and development asset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8,819</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29,719</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2,615</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of discontinued operations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related to the sale of future payments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6,499</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12,684</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5)</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left"/>
              <w:rPr>
                <w:sz w:val="4"/>
                <w:szCs w:val="4"/>
              </w:rPr>
            </w:pPr>
            <w:r>
              <w:rPr>
                <w:sz w:val="4"/>
                <w:szCs w:val="4"/>
              </w:rPr>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value—200,000,000 shares authorized as of March 31, 2026 and December 31, 2025; 50,049,824 and 49,328,097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3" w:type="dxa"/>
            <w:tcBorders/>
            <w:shd w:fill="FFFFFF" w:val="clear"/>
            <w:vAlign w:val="center"/>
          </w:tcPr>
          <w:p>
            <w:pPr>
              <w:pStyle w:val="TableContents"/>
              <w:bidi w:val="0"/>
              <w:spacing w:before="0" w:after="283"/>
              <w:jc w:val="left"/>
              <w:rPr/>
            </w:pPr>
            <w:r>
              <w:rPr/>
              <w:t> </w:t>
            </w:r>
          </w:p>
        </w:tc>
      </w:tr>
      <w:tr>
        <w:trPr/>
        <w:tc>
          <w:tcPr>
            <w:tcW w:w="76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488,506</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(471,520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w:t>
            </w:r>
          </w:p>
        </w:tc>
        <w:tc>
          <w:tcPr>
            <w:tcW w:w="83" w:type="dxa"/>
            <w:tcBorders/>
            <w:shd w:fill="CCEEFF" w:val="clear"/>
            <w:vAlign w:val="center"/>
          </w:tcPr>
          <w:p>
            <w:pPr>
              <w:pStyle w:val="TableContents"/>
              <w:bidi w:val="0"/>
              <w:spacing w:before="0" w:after="283"/>
              <w:jc w:val="left"/>
              <w:rPr/>
            </w:pPr>
            <w:r>
              <w:rPr/>
              <w:t> </w:t>
            </w:r>
          </w:p>
        </w:tc>
      </w:tr>
      <w:tr>
        <w:trPr/>
        <w:tc>
          <w:tcPr>
            <w:tcW w:w="7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29,719</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condensed consolidated balance sheet as of December 31, 2025 has been derived from the audited financial statements as of that date included in the Company’s Annual Report on Form 10-K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9950" w:type="dxa"/>
        <w:jc w:val="left"/>
        <w:tblInd w:w="0" w:type="dxa"/>
        <w:tblLayout w:type="fixed"/>
        <w:tblCellMar>
          <w:top w:w="0" w:type="dxa"/>
          <w:left w:w="0" w:type="dxa"/>
          <w:bottom w:w="0" w:type="dxa"/>
          <w:right w:w="0" w:type="dxa"/>
        </w:tblCellMar>
      </w:tblPr>
      <w:tblGrid>
        <w:gridCol w:w="7520"/>
        <w:gridCol w:w="60"/>
        <w:gridCol w:w="125"/>
        <w:gridCol w:w="950"/>
        <w:gridCol w:w="80"/>
        <w:gridCol w:w="60"/>
        <w:gridCol w:w="125"/>
        <w:gridCol w:w="950"/>
        <w:gridCol w:w="80"/>
      </w:tblGrid>
      <w:tr>
        <w:trPr/>
        <w:tc>
          <w:tcPr>
            <w:tcW w:w="7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 xml:space="preserve">March 31, </w:t>
            </w:r>
          </w:p>
        </w:tc>
        <w:tc>
          <w:tcPr>
            <w:tcW w:w="8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2025 </w:t>
            </w:r>
          </w:p>
        </w:tc>
        <w:tc>
          <w:tcPr>
            <w:tcW w:w="8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r>
      <w:tr>
        <w:trPr/>
        <w:tc>
          <w:tcPr>
            <w:tcW w:w="7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w:t>
            </w:r>
          </w:p>
        </w:tc>
        <w:tc>
          <w:tcPr>
            <w:tcW w:w="80" w:type="dxa"/>
            <w:tcBorders/>
            <w:shd w:fill="CCEEFF" w:val="clear"/>
            <w:vAlign w:val="center"/>
          </w:tcPr>
          <w:p>
            <w:pPr>
              <w:pStyle w:val="TableContents"/>
              <w:bidi w:val="0"/>
              <w:spacing w:before="0" w:after="283"/>
              <w:jc w:val="left"/>
              <w:rPr/>
            </w:pPr>
            <w:r>
              <w:rPr/>
              <w:t> </w:t>
            </w:r>
          </w:p>
        </w:tc>
      </w:tr>
      <w:tr>
        <w:trPr/>
        <w:tc>
          <w:tcPr>
            <w:tcW w:w="75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80" w:type="dxa"/>
            <w:tcBorders/>
            <w:shd w:fill="FFFFFF" w:val="clear"/>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w:t>
            </w:r>
          </w:p>
        </w:tc>
        <w:tc>
          <w:tcPr>
            <w:tcW w:w="80" w:type="dxa"/>
            <w:tcBorders/>
            <w:shd w:fill="CCEEFF" w:val="clear"/>
            <w:vAlign w:val="center"/>
          </w:tcPr>
          <w:p>
            <w:pPr>
              <w:pStyle w:val="TableContents"/>
              <w:bidi w:val="0"/>
              <w:spacing w:before="0" w:after="283"/>
              <w:jc w:val="left"/>
              <w:rPr/>
            </w:pPr>
            <w:r>
              <w:rPr/>
              <w:t> </w:t>
            </w:r>
          </w:p>
        </w:tc>
      </w:tr>
      <w:tr>
        <w:trPr/>
        <w:tc>
          <w:tcPr>
            <w:tcW w:w="7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5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FFFFFF" w:val="clear"/>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CCEEFF" w:val="clear"/>
            <w:vAlign w:val="center"/>
          </w:tcPr>
          <w:p>
            <w:pPr>
              <w:pStyle w:val="TableContents"/>
              <w:bidi w:val="0"/>
              <w:spacing w:before="0" w:after="283"/>
              <w:jc w:val="left"/>
              <w:rPr/>
            </w:pPr>
            <w:r>
              <w:rPr/>
              <w:t> </w:t>
            </w:r>
          </w:p>
        </w:tc>
      </w:tr>
      <w:tr>
        <w:trPr/>
        <w:tc>
          <w:tcPr>
            <w:tcW w:w="752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shd w:fill="FFFFFF" w:val="clear"/>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from discontinued operations– See Note 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per share attributable to stockholders: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discontinued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pPr>
            <w:r>
              <w:rPr/>
              <w:t> </w:t>
            </w:r>
          </w:p>
        </w:tc>
      </w:tr>
      <w:tr>
        <w:trPr/>
        <w:tc>
          <w:tcPr>
            <w:tcW w:w="75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2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computing net loss per share of common stock, basic and diluted – See Note 9</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69,821,593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26,268,209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Talphera,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data)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96"/>
        <w:gridCol w:w="60"/>
        <w:gridCol w:w="60"/>
        <w:gridCol w:w="950"/>
        <w:gridCol w:w="60"/>
        <w:gridCol w:w="60"/>
        <w:gridCol w:w="230"/>
        <w:gridCol w:w="482"/>
        <w:gridCol w:w="60"/>
        <w:gridCol w:w="60"/>
        <w:gridCol w:w="140"/>
        <w:gridCol w:w="780"/>
        <w:gridCol w:w="80"/>
        <w:gridCol w:w="60"/>
        <w:gridCol w:w="160"/>
        <w:gridCol w:w="970"/>
        <w:gridCol w:w="80"/>
        <w:gridCol w:w="60"/>
        <w:gridCol w:w="205"/>
        <w:gridCol w:w="970"/>
        <w:gridCol w:w="82"/>
      </w:tblGrid>
      <w:tr>
        <w:trPr/>
        <w:tc>
          <w:tcPr>
            <w:tcW w:w="4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2"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br/>
              <w:t xml:space="preserve">Capital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br/>
              <w:t xml:space="preserve">Deficit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Stockholders’</w:t>
              <w:br/>
              <w:t>Equity</w:t>
            </w:r>
          </w:p>
        </w:tc>
        <w:tc>
          <w:tcPr>
            <w:tcW w:w="82" w:type="dxa"/>
            <w:tcBorders/>
            <w:vAlign w:val="center"/>
          </w:tcPr>
          <w:p>
            <w:pPr>
              <w:pStyle w:val="TableContents"/>
              <w:bidi w:val="0"/>
              <w:spacing w:before="0" w:after="283"/>
              <w:jc w:val="left"/>
              <w:rPr/>
            </w:pPr>
            <w:r>
              <w:rPr/>
              <w:t> </w:t>
            </w:r>
          </w:p>
        </w:tc>
      </w:tr>
      <w:tr>
        <w:trPr/>
        <w:tc>
          <w:tcPr>
            <w:tcW w:w="4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49,328,097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0" w:type="dxa"/>
            <w:tcBorders/>
            <w:shd w:fill="CCEEFF" w:val="cle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05" w:type="dxa"/>
            <w:tcBorders/>
            <w:shd w:fill="CCEEFF" w:val="cle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w:t>
            </w:r>
          </w:p>
        </w:tc>
        <w:tc>
          <w:tcPr>
            <w:tcW w:w="82" w:type="dxa"/>
            <w:tcBorders/>
            <w:shd w:fill="CCEEFF" w:val="clear"/>
            <w:vAlign w:val="center"/>
          </w:tcPr>
          <w:p>
            <w:pPr>
              <w:pStyle w:val="TableContents"/>
              <w:bidi w:val="0"/>
              <w:spacing w:before="0" w:after="283"/>
              <w:jc w:val="left"/>
              <w:rPr/>
            </w:pPr>
            <w:r>
              <w:rPr/>
              <w:t> </w:t>
            </w:r>
          </w:p>
        </w:tc>
      </w:tr>
      <w:tr>
        <w:trPr/>
        <w:tc>
          <w:tcPr>
            <w:tcW w:w="45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22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2" w:type="dxa"/>
            <w:tcBorders/>
            <w:shd w:fill="FFFFFF" w:val="clear"/>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vesting of restricted stock units, net of shares withheld for employee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22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6"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and pre-funded warrants in connection with private placement offerings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160" w:right="0" w:hanging="0"/>
              <w:jc w:val="left"/>
              <w:rPr/>
            </w:pPr>
            <w:r>
              <w:rPr/>
              <w:t> </w:t>
            </w:r>
          </w:p>
        </w:tc>
        <w:tc>
          <w:tcPr>
            <w:tcW w:w="4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22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3,780</w:t>
            </w:r>
          </w:p>
        </w:tc>
        <w:tc>
          <w:tcPr>
            <w:tcW w:w="82" w:type="dxa"/>
            <w:tcBorders/>
            <w:shd w:fill="FFFFFF" w:val="clear"/>
            <w:vAlign w:val="center"/>
          </w:tcPr>
          <w:p>
            <w:pPr>
              <w:pStyle w:val="TableContents"/>
              <w:bidi w:val="0"/>
              <w:spacing w:before="0" w:after="283"/>
              <w:jc w:val="left"/>
              <w:rPr/>
            </w:pPr>
            <w:r>
              <w:rPr/>
              <w:t> </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ESPP purchase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22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2" w:type="dxa"/>
            <w:tcBorders/>
            <w:shd w:fill="CCEEFF" w:val="clear"/>
            <w:vAlign w:val="center"/>
          </w:tcPr>
          <w:p>
            <w:pPr>
              <w:pStyle w:val="TableContents"/>
              <w:bidi w:val="0"/>
              <w:spacing w:before="0" w:after="283"/>
              <w:jc w:val="left"/>
              <w:rPr/>
            </w:pPr>
            <w:r>
              <w:rPr/>
              <w:t> </w:t>
            </w:r>
          </w:p>
        </w:tc>
      </w:tr>
      <w:tr>
        <w:trPr/>
        <w:tc>
          <w:tcPr>
            <w:tcW w:w="45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1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22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50,049,824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18,478</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94"/>
        <w:gridCol w:w="60"/>
        <w:gridCol w:w="60"/>
        <w:gridCol w:w="950"/>
        <w:gridCol w:w="60"/>
        <w:gridCol w:w="60"/>
        <w:gridCol w:w="231"/>
        <w:gridCol w:w="483"/>
        <w:gridCol w:w="60"/>
        <w:gridCol w:w="60"/>
        <w:gridCol w:w="140"/>
        <w:gridCol w:w="780"/>
        <w:gridCol w:w="80"/>
        <w:gridCol w:w="60"/>
        <w:gridCol w:w="160"/>
        <w:gridCol w:w="970"/>
        <w:gridCol w:w="80"/>
        <w:gridCol w:w="60"/>
        <w:gridCol w:w="219"/>
        <w:gridCol w:w="956"/>
        <w:gridCol w:w="82"/>
      </w:tblGrid>
      <w:tr>
        <w:trPr/>
        <w:tc>
          <w:tcPr>
            <w:tcW w:w="4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br/>
              <w:t xml:space="preserve">Capital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br/>
              <w:t xml:space="preserve">Deficit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Stockholders’</w:t>
              <w:br/>
              <w:t>Equity</w:t>
            </w:r>
          </w:p>
        </w:tc>
        <w:tc>
          <w:tcPr>
            <w:tcW w:w="82" w:type="dxa"/>
            <w:tcBorders/>
            <w:vAlign w:val="center"/>
          </w:tcPr>
          <w:p>
            <w:pPr>
              <w:pStyle w:val="TableContents"/>
              <w:bidi w:val="0"/>
              <w:spacing w:before="0" w:after="283"/>
              <w:jc w:val="left"/>
              <w:rPr/>
            </w:pPr>
            <w:r>
              <w:rPr/>
              <w:t> </w:t>
            </w:r>
          </w:p>
        </w:tc>
      </w:tr>
      <w:tr>
        <w:trPr/>
        <w:tc>
          <w:tcPr>
            <w:tcW w:w="4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45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17,029,469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231" w:type="dxa"/>
            <w:tcBorders/>
            <w:shd w:fill="CCEEFF" w:val="cle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60"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220" w:right="0" w:hanging="0"/>
              <w:jc w:val="left"/>
              <w:rPr/>
            </w:pPr>
            <w:r>
              <w:rPr/>
              <w:t> </w:t>
            </w:r>
          </w:p>
        </w:tc>
        <w:tc>
          <w:tcPr>
            <w:tcW w:w="219" w:type="dxa"/>
            <w:tcBorders/>
            <w:shd w:fill="CCEEFF" w:val="cle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w:t>
            </w:r>
          </w:p>
        </w:tc>
        <w:tc>
          <w:tcPr>
            <w:tcW w:w="82" w:type="dxa"/>
            <w:tcBorders/>
            <w:shd w:fill="CCEEFF" w:val="clear"/>
            <w:vAlign w:val="center"/>
          </w:tcPr>
          <w:p>
            <w:pPr>
              <w:pStyle w:val="TableContents"/>
              <w:bidi w:val="0"/>
              <w:spacing w:before="0" w:after="283"/>
              <w:jc w:val="left"/>
              <w:rPr/>
            </w:pPr>
            <w:r>
              <w:rPr/>
              <w:t> </w:t>
            </w:r>
          </w:p>
        </w:tc>
      </w:tr>
      <w:tr>
        <w:trPr/>
        <w:tc>
          <w:tcPr>
            <w:tcW w:w="45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22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2" w:type="dxa"/>
            <w:tcBorders/>
            <w:shd w:fill="FFFFFF" w:val="clear"/>
            <w:vAlign w:val="center"/>
          </w:tcPr>
          <w:p>
            <w:pPr>
              <w:pStyle w:val="TableContents"/>
              <w:bidi w:val="0"/>
              <w:spacing w:before="0" w:after="283"/>
              <w:jc w:val="left"/>
              <w:rPr/>
            </w:pPr>
            <w:r>
              <w:rPr/>
              <w:t> </w:t>
            </w:r>
          </w:p>
        </w:tc>
      </w:tr>
      <w:tr>
        <w:trPr/>
        <w:tc>
          <w:tcPr>
            <w:tcW w:w="4594"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vesting of restricted stock units, net of shares withheld for employee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22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ESPP 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22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2" w:type="dxa"/>
            <w:tcBorders/>
            <w:shd w:fill="FFFFFF" w:val="clear"/>
            <w:vAlign w:val="center"/>
          </w:tcPr>
          <w:p>
            <w:pPr>
              <w:pStyle w:val="TableContents"/>
              <w:bidi w:val="0"/>
              <w:spacing w:before="0" w:after="283"/>
              <w:jc w:val="left"/>
              <w:rPr/>
            </w:pPr>
            <w:r>
              <w:rPr/>
              <w:t> </w:t>
            </w:r>
          </w:p>
        </w:tc>
      </w:tr>
      <w:tr>
        <w:trPr/>
        <w:tc>
          <w:tcPr>
            <w:tcW w:w="45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22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17,098,345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6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2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(459,823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22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22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5,599</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(In thousands) </w:t>
      </w:r>
      <w:r>
        <w:rPr>
          <w:rFonts w:ascii="Times New Roman" w:hAnsi="Times New Roman"/>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9800" w:type="dxa"/>
        <w:jc w:val="left"/>
        <w:tblInd w:w="0" w:type="dxa"/>
        <w:tblLayout w:type="fixed"/>
        <w:tblCellMar>
          <w:top w:w="0" w:type="dxa"/>
          <w:left w:w="0" w:type="dxa"/>
          <w:bottom w:w="0" w:type="dxa"/>
          <w:right w:w="0" w:type="dxa"/>
        </w:tblCellMar>
      </w:tblPr>
      <w:tblGrid>
        <w:gridCol w:w="8075"/>
        <w:gridCol w:w="60"/>
        <w:gridCol w:w="125"/>
        <w:gridCol w:w="650"/>
        <w:gridCol w:w="80"/>
        <w:gridCol w:w="60"/>
        <w:gridCol w:w="125"/>
        <w:gridCol w:w="545"/>
        <w:gridCol w:w="80"/>
      </w:tblGrid>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80" w:right="0" w:hanging="0"/>
              <w:jc w:val="left"/>
              <w:rPr/>
            </w:pPr>
            <w:r>
              <w:rPr/>
              <w:t> </w:t>
            </w:r>
          </w:p>
        </w:tc>
        <w:tc>
          <w:tcPr>
            <w:tcW w:w="1585" w:type="dxa"/>
            <w:gridSpan w:val="6"/>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br/>
              <w:t xml:space="preserve">Ended March 31, </w:t>
            </w:r>
          </w:p>
        </w:tc>
        <w:tc>
          <w:tcPr>
            <w:tcW w:w="80" w:type="dxa"/>
            <w:tcBorders/>
            <w:vAlign w:val="center"/>
          </w:tcPr>
          <w:p>
            <w:pPr>
              <w:pStyle w:val="TableContents"/>
              <w:bidi w:val="0"/>
              <w:spacing w:before="0" w:after="283"/>
              <w:jc w:val="left"/>
              <w:rPr/>
            </w:pPr>
            <w:r>
              <w:rPr/>
              <w:t> </w:t>
            </w:r>
          </w:p>
        </w:tc>
      </w:tr>
      <w:tr>
        <w:trPr/>
        <w:tc>
          <w:tcPr>
            <w:tcW w:w="8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8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8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1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80" w:right="0" w:hanging="0"/>
              <w:jc w:val="left"/>
              <w:rPr/>
            </w:pPr>
            <w:r>
              <w:rPr/>
              <w:t> </w:t>
            </w:r>
          </w:p>
        </w:tc>
        <w:tc>
          <w:tcPr>
            <w:tcW w:w="125" w:type="dxa"/>
            <w:tcBorders/>
            <w:shd w:fill="FFFFFF" w:val="cle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80" w:right="0" w:hanging="0"/>
              <w:jc w:val="left"/>
              <w:rPr/>
            </w:pPr>
            <w:r>
              <w:rPr/>
              <w:t> </w:t>
            </w:r>
          </w:p>
        </w:tc>
        <w:tc>
          <w:tcPr>
            <w:tcW w:w="125" w:type="dxa"/>
            <w:tcBorders/>
            <w:shd w:fill="FFFFFF" w:val="cle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amortization of discount on short-term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8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19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of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19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7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and prefunded warrants in private placement offerings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8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through equity plans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19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8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8,863</w:t>
            </w:r>
          </w:p>
        </w:tc>
        <w:tc>
          <w:tcPr>
            <w:tcW w:w="80" w:type="dxa"/>
            <w:tcBorders/>
            <w:shd w:fill="FFFFFF" w:val="clear"/>
            <w:vAlign w:val="center"/>
          </w:tcPr>
          <w:p>
            <w:pPr>
              <w:pStyle w:val="TableContents"/>
              <w:bidi w:val="0"/>
              <w:spacing w:before="0" w:after="283"/>
              <w:jc w:val="left"/>
              <w:rPr/>
            </w:pPr>
            <w:r>
              <w:rPr/>
              <w:t> </w:t>
            </w:r>
          </w:p>
        </w:tc>
      </w:tr>
      <w:tr>
        <w:trPr/>
        <w:tc>
          <w:tcPr>
            <w:tcW w:w="8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equivalents—End of period</w:t>
            </w:r>
          </w:p>
        </w:tc>
        <w:tc>
          <w:tcPr>
            <w:tcW w:w="60" w:type="dxa"/>
            <w:tcBorders/>
            <w:shd w:fill="CCEEFF" w:val="clear"/>
            <w:vAlign w:val="center"/>
          </w:tcPr>
          <w:p>
            <w:pPr>
              <w:pStyle w:val="TableContents"/>
              <w:bidi w:val="0"/>
              <w:spacing w:before="0" w:after="283"/>
              <w:ind w:left="8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8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Talphera,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where otherwise noted)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1. Organization and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Talphera, Inc., or the Company, or Talphera, was incorporated in Delaware on July 13, 2005 as SuRx, Inc. The Company subsequently changed its name to AcelRx Pharmaceuticals, Inc. and, on January 9, 2024 to Talphera, Inc. The Company’s operations are based in San Mateo,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Talphera is a specialty pharmaceutical company focused on the development and commercialization of innovative therapies for use in medically supervised settings. The Company’s product development portfolio features Niyad® (a regional anticoagulant for the dialysis circuit). All resources are currently focused on developing Niyad. LTX-608 is a nafamostat formulation for direct IV infusion that the Company may develop for one or more of the following indications: disseminated intravascular coagulation, or DIC, acute respiratory distress syndrome, or ARDS, acute pancreatitis, or as an anti-viral treatment. There are two ready-to-use pre-filled syringe product candidates that have been explored but are being evaluated for discontinuation.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7, 2022, the Company acquired Lowell Therapeutics, Inc., or Lowell, a privately held company (see Note 4, “Asset Acquisition” to the consolidated financial statements in the Company’s 2025 Annual Report on Form 10-K for additional information) and, as a result acquired the Niyad developmental product, a regional anticoagulant for the dialysis circuit during continuous renal replacement therapy for acute kidney injury patients in the hospital, that the Company is studying under an investigational device exemption, or IDE, and for which it has received Breakthrough Device Designation status from the FDA. While not approved for commercial use in the United States, the active drug component of Niyad, nafamostat, has been approved in Japan and South Korea as a regional anticoagulant for the dialysis circuit, disseminated intravascular coagulation, and acute pancreatitis. Niyad is a lyophilized formulation of nafamostat, a broad-spectrum, synthetic serine protease inhibitor, with anticoagulant, anti-inflammatory, and potential anti-viral activities. The second intended indication for Niyad is as a regional anticoagulant for the dialysis circuit for chronic kidney disease patients undergoing intermittent hemodialysis in dialysis centers. In addition, the Company acquired LTX-608, a nafamostat formulation for direct IV infusion.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14, 2021, the Company entered into a License and Commercialization Agreement, or the PFS Agreement, with Laboratoire Aguettant, or Aguettant, pursuant to which the Company obtained the exclusive right to develop and, subject to FDA approval, commercialize in the United States (i) an ephedrine pre-filled syringe for injection (Fedsyra), and (ii) a phenylephrine PFS for injection (see Note 5, “In-License Agreement” to the consolidated financial statements in the Company’s 2025 Annual Report on Form 10-K for additional information). Aguettant will supply the Company with the products for use in commercialization, if they are approved in the U.S. This agreement is currently being evaluated for potential termination given the competitive environment for these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Liquidity and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for the three months ended March 31, 2026 were prepared on the basis of a going concern, which contemplates that the Company will be able to realize assets and discharge liabilities in the normal course of business. The Company has incurred recurring operating losses and negative cash flows from operating activities since inception and expects to continue to incur operating losses and negative cash flows in the future. These conditions raise substantial doubt about the Company’s ability to continue as a going concern. Considering the Company’s current cash resources and its current and expected levels of operating expenses for the next twelve months, management expects to need additional capital to fund its planned operations prior to the 12-month anniversary of the date this Quarterly Report on Form 10-Q is filed with the United States Securities and Exchange Commission, or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may seek to raise such additional capital through public or private equity offerings, debt securities, a new debt facility, monetizing or securitizing certain assets, entering into product development, license or distribution agreements with third parties, or divesting any of the Company’s remaining product candidates. While management believes its plans to raise additional funds will alleviate the conditions that raise substantial doubt about the Company’s ability to continue as a going concern, these plans are not entirely within the Company’s control and cannot be assessed as being probable of occurring.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funds may not be available when the Company needs them on terms that are acceptable to the Company, or at all. If adequate funds are not available, the Company may be required to further reduce its workforce, delay the ongoing clinical trial for Niyad, or delay the development of its regulatory filing plans for its product candidates in advance of the date on which the Company’s cash resources are exhausted to ensure that the Company has sufficient capital to meet its obligations and continue on a path designed to preserve stockholder value. In addition, if additional funds are raised through collaborations, strategic alliances or licensing arrangements with third parties, the Company may have to relinquish rights to its technologies, future revenue streams or product candidates, or to grant licenses on terms that may not be favorable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have been prepared in conformity with accounting principles generally accepted in the United States, or GAAP, and with the rules and regulations of the SEC, related to quarterly reports on Form 10-Q, and accordingly, they do not include all the information and disclosures required by GAAP for annual financial statements. These condensed consolidated financial statements and notes thereto should be read in conjunction with the audited consolidated financial statements and notes thereto included in the Company’s Annual Report on Form 10-K for the fiscal year ended December 31, 2025, as filed with the SEC on March 23, 2026. The unaudited financial information for the interim periods presented herein reflects all adjustments, consisting of normal recurring adjustments, which, in the opinion of management, are necessary for a fair statement of its financial position and the condensed consolidated results of operations for the periods presented. Results of operations for interim periods covered by this Quarterly Report on Form 10-Q may not necessarily be indicative of results of operations for the full fiscal year or any other interim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include the accounts of the Company and its wholly owned subsidiary.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amounts reported in the unaudited condensed consolidated financial statements and accompanying notes. Management believes its most significant accounting estimates relate to fair value of warrants, impairment of long-lived assets, management’s assessment of going concern, revenue recognition, liability related to the sale of future payments and accrued clinical trial liabilities. Management evaluates its estimates on an ongoing basis including critical accounting policies. Estimates are based on historical experience and on various other market-specific and other relevant assumptions that the Company believes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significant accounting policies are detailed in its Annual Report on Form 10-K for the year ended December 31, 2025. There have been no significant changes to the Company’s significant accounting policies during the three months ended March 31, 2026, from those previously disclosed in its 2025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or ASU 2024-03, which is intended to enhance transparency into the nature and function of expenses, primarily through additional disclosures on certain cost and expenses. Additionally, in January 2025, the FASB issued ASU 2025-01 to clarify the effective date of ASU 2024-03. This authoritative guidance is effective for the Company beginning with its annual disclosures for 2027 and interim periods beginning in 2028. Early adoption is permitted, and the amendments may be applied prospectively to reporting periods after the effective date or retrospectively to all periods presented in the financial statements. The Company is in the process of evaluating the impact of this new guidance on its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does not believe other recently issued but not yet effective accounting standards, if currently adopted, would have a material effect on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2. Investments and Fair Value Measurement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Investments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classifies its marketable securities as available for sale and records its investments at fair value. Available-for-sale securities are carried at estimated fair value based on quoted market prices or observable market inputs of almost identical assets, with the unrealized holding gains and losses included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31, 2026, and December 31, 2025, the contractual maturity of all investments held was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tables below summarize the Company’s cash and cash equivalents and short-term investments (in thousands):</w:t>
      </w:r>
    </w:p>
    <w:p>
      <w:pPr>
        <w:pStyle w:val="TextBody"/>
        <w:bidi w:val="0"/>
        <w:spacing w:before="0" w:after="0"/>
        <w:ind w:left="0" w:right="0" w:hanging="0"/>
        <w:jc w:val="left"/>
        <w:rPr>
          <w:caps w:val="false"/>
          <w:smallCaps w:val="false"/>
        </w:rPr>
      </w:pPr>
      <w:r>
        <w:rPr>
          <w:caps w:val="false"/>
          <w:smallCaps w:val="false"/>
        </w:rPr>
        <w:t> </w:t>
      </w:r>
    </w:p>
    <w:tbl>
      <w:tblPr>
        <w:tblW w:w="10092" w:type="dxa"/>
        <w:jc w:val="left"/>
        <w:tblInd w:w="0" w:type="dxa"/>
        <w:tblLayout w:type="fixed"/>
        <w:tblCellMar>
          <w:top w:w="0" w:type="dxa"/>
          <w:left w:w="0" w:type="dxa"/>
          <w:bottom w:w="0" w:type="dxa"/>
          <w:right w:w="0" w:type="dxa"/>
        </w:tblCellMar>
      </w:tblPr>
      <w:tblGrid>
        <w:gridCol w:w="4535"/>
        <w:gridCol w:w="60"/>
        <w:gridCol w:w="240"/>
        <w:gridCol w:w="1144"/>
        <w:gridCol w:w="60"/>
        <w:gridCol w:w="60"/>
        <w:gridCol w:w="483"/>
        <w:gridCol w:w="1006"/>
        <w:gridCol w:w="60"/>
        <w:gridCol w:w="60"/>
        <w:gridCol w:w="483"/>
        <w:gridCol w:w="1006"/>
        <w:gridCol w:w="60"/>
        <w:gridCol w:w="60"/>
        <w:gridCol w:w="125"/>
        <w:gridCol w:w="590"/>
        <w:gridCol w:w="6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3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2026</w:t>
            </w:r>
          </w:p>
        </w:tc>
        <w:tc>
          <w:tcPr>
            <w:tcW w:w="6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Amortized Cost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Gains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Losses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br/>
              <w:t xml:space="preserve">Value </w:t>
            </w:r>
          </w:p>
        </w:tc>
        <w:tc>
          <w:tcPr>
            <w:tcW w:w="6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3,823</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17,285</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investments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17,285</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092" w:type="dxa"/>
        <w:jc w:val="left"/>
        <w:tblInd w:w="0" w:type="dxa"/>
        <w:tblLayout w:type="fixed"/>
        <w:tblCellMar>
          <w:top w:w="0" w:type="dxa"/>
          <w:left w:w="0" w:type="dxa"/>
          <w:bottom w:w="0" w:type="dxa"/>
          <w:right w:w="0" w:type="dxa"/>
        </w:tblCellMar>
      </w:tblPr>
      <w:tblGrid>
        <w:gridCol w:w="4535"/>
        <w:gridCol w:w="60"/>
        <w:gridCol w:w="240"/>
        <w:gridCol w:w="1144"/>
        <w:gridCol w:w="60"/>
        <w:gridCol w:w="60"/>
        <w:gridCol w:w="483"/>
        <w:gridCol w:w="1006"/>
        <w:gridCol w:w="60"/>
        <w:gridCol w:w="60"/>
        <w:gridCol w:w="483"/>
        <w:gridCol w:w="1006"/>
        <w:gridCol w:w="60"/>
        <w:gridCol w:w="60"/>
        <w:gridCol w:w="125"/>
        <w:gridCol w:w="590"/>
        <w:gridCol w:w="6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3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2025</w:t>
            </w:r>
          </w:p>
        </w:tc>
        <w:tc>
          <w:tcPr>
            <w:tcW w:w="6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Amortized Cost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Gains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br/>
              <w:t xml:space="preserve">Losses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br/>
              <w:t xml:space="preserve">Value </w:t>
            </w:r>
          </w:p>
        </w:tc>
        <w:tc>
          <w:tcPr>
            <w:tcW w:w="6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1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2,959</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investments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14,487</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any significant deterioration in economic conditions. There were no material realized or unrealized gains or losses on marketable securities for the three months ended March 31, 2026 or the twelve months ended December 31, 2025. As such, the Company did not record a credit allowance for the three months ended March 31, 2026 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Fair Value Measurement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financial instruments consist of Level I and II assets. Money market funds are highly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For Level II instruments, the Company estimates fair value by utilizing third-party pricing services in developing fair value measurements where fair value is based on valuation methodologies such as models using observable market inputs, including benchmark yields, reported trades, broker/dealer quotes, bids, offers and other reference data. Such Level II instruments typically include U.S. Treasury, U.S. government agency securities and commercial paper. As of March 31, 2026 and December 31, 2025, the Company held, in addition to Level II assets, a warrant liability related to the December 2022 Common Stock Warrants. The fair value of the warrant liability was estimated using the Black Scholes Model which uses as inputs the following weighted average assumptions: dividend yield, expected term in years; equity volatility; and risk-free interest rate. The Company follows the guidance in ASC 820 for its financial assets and liabilities that are re-measured and reported at fair value at each reporting period. The estimated fair value of the warrant liability represents a Level III measurement. Changes to the estimated fair value of these liabilities are recorded in change in fair value of warrant liability in the 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the fair value of the Company’s financial assets and liabilities by level within the fair value hierarchy (in thousands):</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3095"/>
        <w:gridCol w:w="60"/>
        <w:gridCol w:w="171"/>
        <w:gridCol w:w="808"/>
        <w:gridCol w:w="60"/>
        <w:gridCol w:w="60"/>
        <w:gridCol w:w="179"/>
        <w:gridCol w:w="485"/>
        <w:gridCol w:w="60"/>
        <w:gridCol w:w="60"/>
        <w:gridCol w:w="129"/>
        <w:gridCol w:w="610"/>
        <w:gridCol w:w="60"/>
        <w:gridCol w:w="60"/>
        <w:gridCol w:w="167"/>
        <w:gridCol w:w="647"/>
        <w:gridCol w:w="6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March 31, 2026 </w:t>
            </w:r>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Value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III </w:t>
            </w:r>
          </w:p>
        </w:tc>
        <w:tc>
          <w:tcPr>
            <w:tcW w:w="6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measured at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3095"/>
        <w:gridCol w:w="60"/>
        <w:gridCol w:w="171"/>
        <w:gridCol w:w="808"/>
        <w:gridCol w:w="60"/>
        <w:gridCol w:w="60"/>
        <w:gridCol w:w="136"/>
        <w:gridCol w:w="528"/>
        <w:gridCol w:w="60"/>
        <w:gridCol w:w="60"/>
        <w:gridCol w:w="129"/>
        <w:gridCol w:w="610"/>
        <w:gridCol w:w="60"/>
        <w:gridCol w:w="60"/>
        <w:gridCol w:w="167"/>
        <w:gridCol w:w="647"/>
        <w:gridCol w:w="6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December 31, 2025 </w:t>
            </w:r>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Value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Level III </w:t>
            </w:r>
          </w:p>
        </w:tc>
        <w:tc>
          <w:tcPr>
            <w:tcW w:w="6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securities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measured at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 forth a summary of the changes in the fair value of the Company’s Level III warrant liability for the three months ended March 31, 2026 and 2025 (in thousands):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76"/>
        <w:gridCol w:w="60"/>
        <w:gridCol w:w="60"/>
        <w:gridCol w:w="329"/>
        <w:gridCol w:w="1435"/>
        <w:gridCol w:w="80"/>
        <w:gridCol w:w="60"/>
        <w:gridCol w:w="60"/>
        <w:gridCol w:w="360"/>
        <w:gridCol w:w="1402"/>
        <w:gridCol w:w="83"/>
      </w:tblGrid>
      <w:tr>
        <w:trPr/>
        <w:tc>
          <w:tcPr>
            <w:tcW w:w="627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2025</w:t>
            </w:r>
          </w:p>
        </w:tc>
        <w:tc>
          <w:tcPr>
            <w:tcW w:w="83" w:type="dxa"/>
            <w:tcBorders/>
            <w:vAlign w:val="center"/>
          </w:tcPr>
          <w:p>
            <w:pPr>
              <w:pStyle w:val="TableContents"/>
              <w:bidi w:val="0"/>
              <w:spacing w:before="0" w:after="283"/>
              <w:jc w:val="left"/>
              <w:rPr/>
            </w:pPr>
            <w:r>
              <w:rPr/>
              <w:t> </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value—beginning of period</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83" w:type="dxa"/>
            <w:tcBorders/>
            <w:shd w:fill="CCEEFF" w:val="clear"/>
            <w:vAlign w:val="center"/>
          </w:tcPr>
          <w:p>
            <w:pPr>
              <w:pStyle w:val="TableContents"/>
              <w:bidi w:val="0"/>
              <w:spacing w:before="0" w:after="283"/>
              <w:jc w:val="left"/>
              <w:rPr/>
            </w:pPr>
            <w:r>
              <w:rPr/>
              <w:t> </w:t>
            </w:r>
          </w:p>
        </w:tc>
      </w:tr>
      <w:tr>
        <w:trPr/>
        <w:tc>
          <w:tcPr>
            <w:tcW w:w="627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change in fair value of December 2022 Common Stock Warrants liability</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3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7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value—end of period</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31, 2026, the December 2022 Common Stock Warrants were valued at approximately $1.2 million, using the Black-Scholes option pricing model as follows: exercise price of $2.07 per share, stock price of $0.7469 per share, expected life of 2.75 years, volatility of 94.49%, a risk-free rate of 3.81% and 0% expected dividend yield.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transfers between Level I, Level II or Level III of the fair value hierarchy during the three months ended March 31, 2026, and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3.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12, 2023, the Company entered into the Asset Purchase Agreement with Alora Pharmaceuticals, LLC, or Alora, for Alora’s acquisition of all assets related to DSUVIA, including inventories, equipment and intellectual property in exchange for consideration at closing of $1.1 million, a 15% payment on commercial sales of DSUVIA, 75% payment on sales of DSUVIA to the Department of Defense and up to $116.5 million in sales-based milestones, or the DSUVIA Agreement. The transaction closed on April 3, 2023 (see Note 3, “Discontinued Operations” to the consolidated financial statements in the Company’s 2025 Annual Report on Form 10-K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results of the discontinued operations for the three-month period ended March 31, 2026 and March 31, 2025 (in thousands):</w:t>
      </w:r>
    </w:p>
    <w:p>
      <w:pPr>
        <w:pStyle w:val="TextBody"/>
        <w:bidi w:val="0"/>
        <w:spacing w:before="0" w:after="0"/>
        <w:ind w:left="0" w:right="0" w:hanging="0"/>
        <w:jc w:val="left"/>
        <w:rPr>
          <w:caps w:val="false"/>
          <w:smallCaps w:val="false"/>
        </w:rPr>
      </w:pPr>
      <w:r>
        <w:rPr>
          <w:caps w:val="false"/>
          <w:smallCaps w:val="false"/>
        </w:rPr>
        <w:t> </w:t>
      </w:r>
    </w:p>
    <w:tbl>
      <w:tblPr>
        <w:tblW w:w="6877" w:type="dxa"/>
        <w:jc w:val="left"/>
        <w:tblInd w:w="0" w:type="dxa"/>
        <w:tblLayout w:type="fixed"/>
        <w:tblCellMar>
          <w:top w:w="0" w:type="dxa"/>
          <w:left w:w="0" w:type="dxa"/>
          <w:bottom w:w="0" w:type="dxa"/>
          <w:right w:w="0" w:type="dxa"/>
        </w:tblCellMar>
      </w:tblPr>
      <w:tblGrid>
        <w:gridCol w:w="5030"/>
        <w:gridCol w:w="60"/>
        <w:gridCol w:w="251"/>
        <w:gridCol w:w="523"/>
        <w:gridCol w:w="120"/>
        <w:gridCol w:w="120"/>
        <w:gridCol w:w="251"/>
        <w:gridCol w:w="462"/>
        <w:gridCol w:w="60"/>
      </w:tblGrid>
      <w:tr>
        <w:trPr/>
        <w:tc>
          <w:tcPr>
            <w:tcW w:w="50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7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estimated net liabilities of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from discontinued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carrying amounts of major classes of liabilities of discontinued operations for each of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7388" w:type="dxa"/>
        <w:jc w:val="left"/>
        <w:tblInd w:w="0" w:type="dxa"/>
        <w:tblLayout w:type="fixed"/>
        <w:tblCellMar>
          <w:top w:w="0" w:type="dxa"/>
          <w:left w:w="0" w:type="dxa"/>
          <w:bottom w:w="0" w:type="dxa"/>
          <w:right w:w="0" w:type="dxa"/>
        </w:tblCellMar>
      </w:tblPr>
      <w:tblGrid>
        <w:gridCol w:w="4115"/>
        <w:gridCol w:w="60"/>
        <w:gridCol w:w="323"/>
        <w:gridCol w:w="1031"/>
        <w:gridCol w:w="80"/>
        <w:gridCol w:w="60"/>
        <w:gridCol w:w="393"/>
        <w:gridCol w:w="1246"/>
        <w:gridCol w:w="80"/>
      </w:tblGrid>
      <w:tr>
        <w:trPr/>
        <w:tc>
          <w:tcPr>
            <w:tcW w:w="41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 of discontinued operations</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liabilities of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Sale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12, 2024, the Company and XOMA (US) LLC, or XOMA, entered into a Payment Interest Purchase Agreement, or the Purchase Agreement, for the sale by the Company to XOMA, in exchange for $8.0 million, of the Company’s right, title and interest in and to certain amounts payable to the Company, or collectively the Purchased Receivables, pursuant to the DSUVIA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Alora notified the Company in October 2024 that they are discontinuing their DSUVIA sales efforts to non-DoD customers and, in 2025, that they had submitted a letter to the FDA to request the withdrawal of the DSUVIA NDA. As a result, the Company expects payments to XOMA related to the Purchased Receivables will be lower than the gross proceeds of $6.6 million received; however, the Company will defer recognition of any probable contingent gain until it has met its obligations under the Purchase Agreement. The Company did not recognize any non-cash revenue or non-cash interest expense for the three months ended March 31, 2026, and recognized de minimus non-cash payment interest revenue and no non-cash interest expense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5.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6.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April 2025 Private Placement </w:t>
      </w:r>
      <w:r>
        <w:rPr>
          <w:rFonts w:ascii="Times New Roman" w:hAnsi="Times New Roman"/>
          <w:caps w:val="false"/>
          <w:smallCaps w:val="false"/>
          <w:sz w:val="20"/>
        </w:rPr>
        <w:t xml:space="preserve">– </w:t>
      </w:r>
      <w:r>
        <w:rPr>
          <w:rFonts w:ascii="Times New Roman" w:hAnsi="Times New Roman"/>
          <w:i/>
          <w:caps w:val="false"/>
          <w:smallCaps w:val="false"/>
          <w:sz w:val="20"/>
        </w:rPr>
        <w:t>Third</w:t>
      </w:r>
      <w:r>
        <w:rPr>
          <w:rFonts w:ascii="Times New Roman" w:hAnsi="Times New Roman"/>
          <w:caps w:val="false"/>
          <w:smallCaps w:val="false"/>
          <w:sz w:val="20"/>
        </w:rPr>
        <w:t> </w:t>
      </w:r>
      <w:r>
        <w:rPr>
          <w:rFonts w:ascii="Times New Roman" w:hAnsi="Times New Roman"/>
          <w:i/>
          <w:caps w:val="false"/>
          <w:smallCaps w:val="false"/>
          <w:sz w:val="20"/>
        </w:rP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13, 2026, the third closing of the April 2025 Private Placement took place following the Company’s announcement of the enrollment of 35 patients in the Niyad NEPHRO CRRT study and the achievement of the target price milestone, which resulted in the issuance of: (i) 639,931 shares of common stock, at a price of $0.586 per share, and (ii) pre-funded warrants at a price of $0.585 per warrant to purchase up to an aggregate of 6,399,316 shares of common stock at an exercise price of $0.001 per share, and gross proceeds of $4.1 million. There are no additional shares of common stock and/or pre-funded warrants remaining to be sold in connection with the third closing of the April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31, 2026, the Company had incurred $0.3 million in unpaid closing costs related to the third closing of the April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CorMedix Right of First Negotiation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securities purchase agreement entered into with CorMedix, Inc., or CorMedix, following the public announcement, or the Public Announcement, by the Company of the achievement of the primary endpoint and topline clinical data and results of the NEPHRO CRRT clinical study for its product candidate Niyad, CorMedix shall have the right for 60 days thereafter, or the Exclusivity Period, to negotiate exclusively with the Company, or the Right of First Negotiation, with respect to an acquisition of 100% of the capital stock and equity interests of the Company, or an Acquisition Transaction. During the Exclusivity Period, the Company agreed that it shall not engage in discussions with any other third party about an Acquisition Transaction, a sale or exclusive license of all or substantially all of the assets of the Company or any similar transaction. If after conducting good faith negotiations during the Exclusivity Period, the parties are unable to reach a definitive agreement with respect to an Acquisition Transaction, the Company will not, for a period of nine months from the date of the Public Announcement, enter into a definitive agreement or binding arrangement with a third party with respect to an Acquisition Transaction or similar transaction on financial terms less favorable (in the good faith determination of the board of directors of the Company) than those offered in writing by CorMedix during the Exclusivity Period (if any) without the written consent of CorMedix, which consent shall not be unreasonably withheld, delayed or conditioned. The Right of First Negotiation shall terminate upon the earlier of: (i) Talphera’s public announcement of the termination of the NEPHRO CRRT clinical study for any reason prior to the achievement of the study’s primary endpoint and (ii) December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7.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activity related to warrants during the three months ended March 31, 2026, is summarized as follows:</w:t>
      </w:r>
    </w:p>
    <w:p>
      <w:pPr>
        <w:pStyle w:val="TextBody"/>
        <w:bidi w:val="0"/>
        <w:spacing w:before="0" w:after="0"/>
        <w:ind w:left="0" w:right="0" w:hanging="0"/>
        <w:jc w:val="left"/>
        <w:rPr>
          <w:caps w:val="false"/>
          <w:smallCaps w:val="false"/>
        </w:rPr>
      </w:pPr>
      <w:r>
        <w:rPr>
          <w:caps w:val="false"/>
          <w:smallCaps w:val="false"/>
        </w:rPr>
        <w:t> </w:t>
      </w:r>
    </w:p>
    <w:tbl>
      <w:tblPr>
        <w:tblW w:w="7034" w:type="dxa"/>
        <w:jc w:val="left"/>
        <w:tblInd w:w="0" w:type="dxa"/>
        <w:tblLayout w:type="fixed"/>
        <w:tblCellMar>
          <w:top w:w="0" w:type="dxa"/>
          <w:left w:w="0" w:type="dxa"/>
          <w:bottom w:w="0" w:type="dxa"/>
          <w:right w:w="0" w:type="dxa"/>
        </w:tblCellMar>
      </w:tblPr>
      <w:tblGrid>
        <w:gridCol w:w="3860"/>
        <w:gridCol w:w="60"/>
        <w:gridCol w:w="80"/>
        <w:gridCol w:w="1274"/>
        <w:gridCol w:w="60"/>
        <w:gridCol w:w="60"/>
        <w:gridCol w:w="323"/>
        <w:gridCol w:w="1257"/>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Common 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from</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 Price</w:t>
              <w:br/>
              <w:t>(per share)</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2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39,319,028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0.001</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March 31, 2026</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45,718,344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April 2025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2026, the Company issued pre-funded warrants at a price of $0.585 per warrant to purchase up to an aggregate of 6,399,316 shares of common stock at an exercise price of $0.001 per share, in connection with the third closing of the April 2025 Private Placement (see Note 6, “Stockholders’ Equity”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31, 2026, 25,452,768 of the 45,718,344 warrants outstanding and exercisable were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8.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recorded total stock-based compensation expense for stock options, restricted stock units, or RSUs, and the Amended and Restated 2011 Employee Stock Purchase Plan, or the Amended ESPP, as follows (in thousands):</w:t>
      </w:r>
    </w:p>
    <w:p>
      <w:pPr>
        <w:pStyle w:val="TextBody"/>
        <w:bidi w:val="0"/>
        <w:spacing w:before="0" w:after="0"/>
        <w:ind w:left="0" w:right="0" w:hanging="0"/>
        <w:jc w:val="left"/>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2855"/>
        <w:gridCol w:w="60"/>
        <w:gridCol w:w="367"/>
        <w:gridCol w:w="987"/>
        <w:gridCol w:w="60"/>
        <w:gridCol w:w="60"/>
        <w:gridCol w:w="367"/>
        <w:gridCol w:w="987"/>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2025</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3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restricted stock unit activity under the Company’s equity incentive plans:</w:t>
      </w:r>
    </w:p>
    <w:p>
      <w:pPr>
        <w:pStyle w:val="TextBody"/>
        <w:bidi w:val="0"/>
        <w:spacing w:before="0" w:after="0"/>
        <w:ind w:left="0" w:right="0" w:hanging="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4175"/>
        <w:gridCol w:w="60"/>
        <w:gridCol w:w="76"/>
        <w:gridCol w:w="888"/>
        <w:gridCol w:w="80"/>
        <w:gridCol w:w="60"/>
        <w:gridCol w:w="238"/>
        <w:gridCol w:w="726"/>
        <w:gridCol w:w="6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outstanding, January 1, 2026</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0.88</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0.81</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outstanding, March 31, 2026</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vesting, certain of the Company’s RSUs may be settled on a net-exercise basis to cover any required withholding tax with the remaining amount converted into an equivalent number of shares of common stock. There were 19,756 shares of common stock underlying vested RSUs that were withheld during the quarter ended March 31, 2026, based on the value of the RSUs as determined by the Company’s closing stock price on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stock option activity under the Company’s equity incentive plans:</w:t>
      </w:r>
    </w:p>
    <w:p>
      <w:pPr>
        <w:pStyle w:val="TextBody"/>
        <w:bidi w:val="0"/>
        <w:spacing w:before="0" w:after="0"/>
        <w:ind w:left="0" w:right="0" w:hanging="0"/>
        <w:jc w:val="left"/>
        <w:rPr>
          <w:caps w:val="false"/>
          <w:smallCaps w:val="false"/>
        </w:rPr>
      </w:pPr>
      <w:r>
        <w:rPr>
          <w:caps w:val="false"/>
          <w:smallCaps w:val="false"/>
        </w:rPr>
        <w:t> </w:t>
      </w:r>
    </w:p>
    <w:tbl>
      <w:tblPr>
        <w:tblW w:w="9117" w:type="dxa"/>
        <w:jc w:val="left"/>
        <w:tblInd w:w="0" w:type="dxa"/>
        <w:tblLayout w:type="fixed"/>
        <w:tblCellMar>
          <w:top w:w="0" w:type="dxa"/>
          <w:left w:w="0" w:type="dxa"/>
          <w:bottom w:w="0" w:type="dxa"/>
          <w:right w:w="0" w:type="dxa"/>
        </w:tblCellMar>
      </w:tblPr>
      <w:tblGrid>
        <w:gridCol w:w="4070"/>
        <w:gridCol w:w="60"/>
        <w:gridCol w:w="91"/>
        <w:gridCol w:w="1308"/>
        <w:gridCol w:w="80"/>
        <w:gridCol w:w="60"/>
        <w:gridCol w:w="182"/>
        <w:gridCol w:w="708"/>
        <w:gridCol w:w="60"/>
        <w:gridCol w:w="60"/>
        <w:gridCol w:w="191"/>
        <w:gridCol w:w="878"/>
        <w:gridCol w:w="60"/>
        <w:gridCol w:w="60"/>
        <w:gridCol w:w="322"/>
        <w:gridCol w:w="867"/>
        <w:gridCol w:w="6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br/>
              <w:t>of Stock Options</w:t>
              <w:br/>
              <w:t xml:space="preserve">Outstanding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2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2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Exercise</w:t>
              <w:br/>
              <w:t xml:space="preserve">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Remaining</w:t>
              <w:br/>
              <w:t>Contractual</w:t>
              <w:br/>
              <w:t xml:space="preserve">Life (Years)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br/>
              <w:t>Intrinsic</w:t>
              <w:br/>
              <w:t xml:space="preserve">Value </w:t>
            </w:r>
          </w:p>
        </w:tc>
        <w:tc>
          <w:tcPr>
            <w:tcW w:w="6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320" w:right="0" w:hanging="0"/>
              <w:jc w:val="left"/>
              <w:rPr/>
            </w:pPr>
            <w:r>
              <w:rPr/>
              <w:t> </w:t>
            </w:r>
          </w:p>
        </w:tc>
        <w:tc>
          <w:tcPr>
            <w:tcW w:w="1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28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320" w:right="0" w:hanging="0"/>
              <w:jc w:val="left"/>
              <w:rPr/>
            </w:pPr>
            <w:r>
              <w:rPr/>
              <w:t> </w:t>
            </w:r>
          </w:p>
        </w:tc>
        <w:tc>
          <w:tcPr>
            <w:tcW w:w="13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28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320" w:right="0" w:hanging="0"/>
              <w:jc w:val="left"/>
              <w:rPr/>
            </w:pPr>
            <w:r>
              <w:rPr/>
              <w:t> </w:t>
            </w:r>
          </w:p>
        </w:tc>
        <w:tc>
          <w:tcPr>
            <w:tcW w:w="1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320" w:right="0" w:hanging="0"/>
              <w:jc w:val="left"/>
              <w:rPr/>
            </w:pPr>
            <w:r>
              <w:rPr/>
              <w:t> </w:t>
            </w:r>
          </w:p>
        </w:tc>
        <w:tc>
          <w:tcPr>
            <w:tcW w:w="1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28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380" w:right="0" w:hanging="0"/>
              <w:jc w:val="left"/>
              <w:rPr/>
            </w:pPr>
            <w:r>
              <w:rPr/>
              <w:t> </w:t>
            </w:r>
          </w:p>
        </w:tc>
        <w:tc>
          <w:tcPr>
            <w:tcW w:w="1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16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380" w:right="0" w:hanging="0"/>
              <w:jc w:val="left"/>
              <w:rPr/>
            </w:pPr>
            <w:r>
              <w:rPr/>
              <w:t> </w:t>
            </w:r>
          </w:p>
        </w:tc>
        <w:tc>
          <w:tcPr>
            <w:tcW w:w="322" w:type="dxa"/>
            <w:tcBorders/>
            <w:shd w:fill="FFFFFF" w:val="clear"/>
            <w:vAlign w:val="center"/>
          </w:tcPr>
          <w:p>
            <w:pPr>
              <w:pStyle w:val="TableContents"/>
              <w:bidi w:val="0"/>
              <w:spacing w:before="0" w:after="283"/>
              <w:ind w:left="38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exercisable options— March 31,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300" w:right="0" w:hanging="0"/>
              <w:jc w:val="left"/>
              <w:rPr/>
            </w:pPr>
            <w:r>
              <w:rPr/>
              <w:t> </w:t>
            </w:r>
          </w:p>
        </w:tc>
        <w:tc>
          <w:tcPr>
            <w:tcW w:w="13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160" w:right="0" w:hanging="0"/>
              <w:jc w:val="left"/>
              <w:rPr/>
            </w:pPr>
            <w:r>
              <w:rPr/>
              <w:t> </w:t>
            </w:r>
          </w:p>
        </w:tc>
        <w:tc>
          <w:tcPr>
            <w:tcW w:w="8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380" w:right="0" w:hanging="0"/>
              <w:jc w:val="left"/>
              <w:rPr/>
            </w:pPr>
            <w:r>
              <w:rPr/>
              <w:t> </w:t>
            </w:r>
          </w:p>
        </w:tc>
        <w:tc>
          <w:tcPr>
            <w:tcW w:w="322" w:type="dxa"/>
            <w:tcBorders/>
            <w:shd w:fill="CCEEFF" w:val="clear"/>
            <w:vAlign w:val="center"/>
          </w:tcPr>
          <w:p>
            <w:pPr>
              <w:pStyle w:val="TableContents"/>
              <w:bidi w:val="0"/>
              <w:spacing w:before="0" w:after="283"/>
              <w:ind w:left="38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March 31, 2026</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300" w:right="0" w:hanging="0"/>
              <w:jc w:val="left"/>
              <w:rPr/>
            </w:pPr>
            <w:r>
              <w:rPr/>
              <w:t> </w:t>
            </w:r>
          </w:p>
        </w:tc>
        <w:tc>
          <w:tcPr>
            <w:tcW w:w="1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16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380" w:right="0" w:hanging="0"/>
              <w:jc w:val="left"/>
              <w:rPr/>
            </w:pPr>
            <w:r>
              <w:rPr/>
              <w:t> </w:t>
            </w:r>
          </w:p>
        </w:tc>
        <w:tc>
          <w:tcPr>
            <w:tcW w:w="322" w:type="dxa"/>
            <w:tcBorders/>
            <w:shd w:fill="FFFFFF" w:val="clear"/>
            <w:vAlign w:val="center"/>
          </w:tcPr>
          <w:p>
            <w:pPr>
              <w:pStyle w:val="TableContents"/>
              <w:bidi w:val="0"/>
              <w:spacing w:before="0" w:after="283"/>
              <w:ind w:left="38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31, 2026, total stock-based compensation expense related to unvested options to be recognized in future periods was $1.7 million which is expected to be recognized over a weighted-average period of 3 years. As of March 31, 2026, there were 310,787 shares available for grant under the Company’s equity incentive plans and 166,039 shares available for grant under the Amended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9. Net Loss per Share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applies the two-class method to compute basic net income (loss) per share by dividing the net income (loss) attributable to common shareholders by the weighted average number of shares of common stock outstanding for the period. The diluted net income (loss) per share of common stock is computed by giving effect to all potential common stock equivalents outstanding for the period determined using the more dilutive of the 1) treasury stock method, if-converted method, or contingently issuable share method, as applicable, or 2) the two-class method. For purposes of this calculation, options to purchase common stock, RSUs, and warrants to purchase common stock were considered to be common stock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July 2023 Series A and Series B common stock warrants, the placement agent July 2023 Series A and Series B common stock warrants, the December 2022 Common Stock Warrants, and the November 2021 Financing Warrants are all participating securities which, by definition, entitle the holders thereof to participate in dividends and other distributions of assets by the Company to its holders of common shares as though the holder then held common shares; however, there is no contractual obligation on the part of the warrant holders to participate in the Company’s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Given that the Company’s participating securities do not have a contractual obligation to share in the Company’s losses, net loss for the three months ended March 31, 2026, and the year ended December 31, 2025, was attributed entirely to common stockholders. In periods with a reported net loss, common stock equivalents are excluded from the calculation of diluted net loss per share of common stock if their effect is antidilutive. Potential common shares that are issuable for little or no cash consideration, such as the pre-funded warrants issued with de minimis exercise prices of $0.001 per share under the Company’s September 2025, April 2025, January 2024, and July 2023 private placement offerings, are considered outstanding common shares which are included in the calculation of basic and diluted net income (loss) per share in all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outstanding shares of common stock equivalents were excluded from the computation of diluted net income (loss) per share of common stock for the periods presented because including them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7028" w:type="dxa"/>
        <w:jc w:val="left"/>
        <w:tblInd w:w="0" w:type="dxa"/>
        <w:tblLayout w:type="fixed"/>
        <w:tblCellMar>
          <w:top w:w="0" w:type="dxa"/>
          <w:left w:w="0" w:type="dxa"/>
          <w:bottom w:w="0" w:type="dxa"/>
          <w:right w:w="0" w:type="dxa"/>
        </w:tblCellMar>
      </w:tblPr>
      <w:tblGrid>
        <w:gridCol w:w="4160"/>
        <w:gridCol w:w="60"/>
        <w:gridCol w:w="77"/>
        <w:gridCol w:w="1220"/>
        <w:gridCol w:w="77"/>
        <w:gridCol w:w="77"/>
        <w:gridCol w:w="77"/>
        <w:gridCol w:w="1220"/>
        <w:gridCol w:w="6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Three Months Ended March 31, </w:t>
            </w:r>
          </w:p>
        </w:tc>
        <w:tc>
          <w:tcPr>
            <w:tcW w:w="6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300" w:right="0" w:hanging="0"/>
              <w:jc w:val="left"/>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0"/>
              <w:ind w:left="60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300" w:right="0" w:hanging="0"/>
              <w:jc w:val="left"/>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0"/>
              <w:ind w:left="60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stock options to purchase common stock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30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4,473,089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30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1,921,926</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30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20,265,576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30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20,265,576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the shares contingently issuable in connection with the Lowell Merger, as described in Note 4, “Asset Acquisition” to the Company’s 2025 Annual Report on Form 10-K, have also been excluded from the computation of diluted net loss per share of common stock for the periods presented because the contingencies for issuance of these shares have not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reports segment information based on how it internally evaluates the operating performance of its business units, or segments. The Company has one reportable segment, which is the development and commercialization of innovative therapies for use in medically supervised settings.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or CODM, which consists of its Chief Executive Officer and the Chief Financial Officer, reviews the Company’s operating results on an aggregate basis and manages the Company’s operations. The CODM assesses performance for the segment and decides how to allocate resources based on condensed consolidated net loss that is also reported on the condensed consolidated statements of operations. The CODM uses condensed consolidated net loss to evaluate the Company's spend and monitor budget versus actual results. The monitoring of budgeted versus actual results is used in assessing performance of the segment and in establishing resource allocation across the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measure of segment assets is reported on the condensed consolidated balance sheets as total condensed consolidated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the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segment derives its revenues in the United States pursuant to the Marketing Agreement with Alora. All long-lived assets are maintained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is a summary of the segment loss, including significant segment expenses (in thousands):</w:t>
      </w:r>
    </w:p>
    <w:p>
      <w:pPr>
        <w:pStyle w:val="TextBody"/>
        <w:bidi w:val="0"/>
        <w:spacing w:before="0" w:after="0"/>
        <w:ind w:left="0" w:right="0" w:hanging="0"/>
        <w:jc w:val="left"/>
        <w:rPr>
          <w:caps w:val="false"/>
          <w:smallCaps w:val="false"/>
        </w:rPr>
      </w:pPr>
      <w:r>
        <w:rPr>
          <w:caps w:val="false"/>
          <w:smallCaps w:val="false"/>
        </w:rPr>
        <w:t> </w:t>
      </w:r>
    </w:p>
    <w:tbl>
      <w:tblPr>
        <w:tblW w:w="7843" w:type="dxa"/>
        <w:jc w:val="left"/>
        <w:tblInd w:w="0" w:type="dxa"/>
        <w:tblLayout w:type="fixed"/>
        <w:tblCellMar>
          <w:top w:w="0" w:type="dxa"/>
          <w:left w:w="0" w:type="dxa"/>
          <w:bottom w:w="0" w:type="dxa"/>
          <w:right w:w="0" w:type="dxa"/>
        </w:tblCellMar>
      </w:tblPr>
      <w:tblGrid>
        <w:gridCol w:w="5015"/>
        <w:gridCol w:w="60"/>
        <w:gridCol w:w="227"/>
        <w:gridCol w:w="990"/>
        <w:gridCol w:w="145"/>
        <w:gridCol w:w="109"/>
        <w:gridCol w:w="227"/>
        <w:gridCol w:w="990"/>
        <w:gridCol w:w="8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p>
        </w:tc>
        <w:tc>
          <w:tcPr>
            <w:tcW w:w="8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45"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283"/>
              <w:ind w:left="0" w:right="0" w:hanging="0"/>
              <w:jc w:val="right"/>
              <w:rPr/>
            </w:pPr>
            <w:r>
              <w:rPr/>
              <w:t>—</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expense (not including stock-based compensation)</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and clinical trial expense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145"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expense(a)</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income, net(b)</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1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Discontinued operations</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5"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and condensed consolidated 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w:t>
            </w:r>
          </w:p>
        </w:tc>
        <w:tc>
          <w:tcPr>
            <w:tcW w:w="1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(a)Other general and administrative expense includes consulting and professional services fees, insurance, facilities and other corporate expenses.</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(b)Other segment income, net includes fair value adjustments to warrant liability, interest income, and stock-based compensation expense and marketing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following discussion and analysis should be read in conjunction with the unaudited financial statements and notes thereto included in Part I, Item</w:t>
      </w:r>
      <w:r>
        <w:rPr>
          <w:rFonts w:ascii="Times New Roman" w:hAnsi="Times New Roman"/>
          <w:caps w:val="false"/>
          <w:smallCaps w:val="false"/>
          <w:sz w:val="20"/>
        </w:rPr>
        <w:t> </w:t>
      </w:r>
      <w:r>
        <w:rPr>
          <w:rFonts w:ascii="Times New Roman" w:hAnsi="Times New Roman"/>
          <w:i/>
          <w:caps w:val="false"/>
          <w:smallCaps w:val="false"/>
          <w:sz w:val="20"/>
        </w:rPr>
        <w:t xml:space="preserve">1 of this Quarterly Report on Form 10-Q, or Form 10-Q, and with the audited Consolidated Financial Statements and related notes thereto included as part of our Annual Report on Form 10-K for the year ended December 31, 2025, or the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About Talphera,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specialty pharmaceutical company focused on the development and commercialization of innovative therapies for use in medically supervised settings. Our product development portfolio features Niyad (a regional anticoagulant for the dialysis circuit). All resources are currently focused on developing Niyad. In addition, we may develop LTX-608, a nafamostat formulation for direct IV infusion, for one or more of the following indications: disseminated intravascular coagulation, or DIC, acute respiratory distress syndrome, or ARDS, acute pancreatitis, or as an anti-viral treatment. We have two pre-filled syringe product candidates that have been explored but are being evaluated for discontinuation.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strategy is focused on developing, obtaining approval, and commercializing Niyad. We intend to expand our portfolio to include additional acute care therapies for use in medically supervised settings.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Niyad NEPHRO CRRT registrational trial is ongoing with completion expected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General Trends and 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Inflation and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believe that inflation has had a material impact on our business or operating results during the periods presented. However, inflation may adversely affect our operating results in the future. In addition, increased inflation has had, and may continue to have, an effect on interest rates. Increased interest rates may adversely affect our borrowing rate and our ability to obtain, or the terms under which we can obtain, any potential additional funding. In addition, the U.S. government has imposed tariffs on products imported from outside the United States, including specific tariffs on pharmaceutical products, which will likely increase our cost of doing business. We continue to monitor the effects of tariffs implemented by the Trump administration and the potential impact of modified or additional tariffs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incurred net losses and generated negative cash flows from operations and expect to continue to incur losses in the future as we continue to fund any future research and development activities needed to support the FDA regulatory review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net loss for each of the three-month periods ended March 31, 2026 and 2025, was $2.6 million. As of March 31, 2026, we had an accumulated deficit of $474.1 million compared to $471.5 million at December 31, 2025. As of March 31, 2026, we had cash and cash equivalents and short-term investments totaling $21.1 million compared to $20.4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Significant Accounting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discussion and analysis of our financial condition and results of operations are based upon our unaudited condensed consolidated financial statements and the related disclosures, which have been prepared in accordance with accounting principles generally accepted in the United States. The preparation of these financial statements requires us to make estimates, assumptions and judgments that affect the reported amounts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To the extent that there are material differences between these estimates and actual results, our future financial statement presentation, financial condition, results of operations and cash flows will be affected. Our critical accounting policies and estimates are detailed in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significant changes to our critical accounting policies or significant judgements and estimates for the three months ended March 31, 2026, from those previously disclosed in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or ASU 2024-03, which is intended to enhance transparency into the nature and function of expenses, primarily through additional disclosures on certain cost and expenses. Additionally, in January 2025, the FASB issued ASU 2025-01 to clarify the effective date of ASU 2024-03. This authoritative guidance is effective for us beginning with our annual disclosures for 2027 and interim periods beginning in 2028. Early adoption is permitted, and the amendments may be applied prospectively to reporting periods after the effective date or retrospectively to all periods presented in the financial statements. We are in the process of evaluating the impact of this new guidance on our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believe other recently issued but not yet effective accounting standards, if currently adopted, would have a material effect on our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unaudited condensed consolidated results of operations are presented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Results of operations for any period may be unrelated to results of operations for any other period. In addition, historical results should not be viewed as indicative of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included the following:</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110"/>
        <w:gridCol w:w="77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incurred under agreements with contract research organizations and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110"/>
        <w:gridCol w:w="7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employee-related expenses, which include salaries, benefits and stock-based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110"/>
        <w:gridCol w:w="66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third party pharmaceutical and engineering development contractors;</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10"/>
        <w:gridCol w:w="3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third party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allocated expenses, which include direct and allocated expenses for rent and maintenance of facilities and equipment, and equipment and laboratory and other supply costs; and</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10"/>
        <w:gridCol w:w="4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for equipment and laboratory and other supplies.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to incur future research and development expenditures to support the FDA regulatory review of our product candidates and anticipated activities required for the development of our nafamostat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track external development expenses on a program-by-program basis. Our development resources are shared among all our programs. Compensation and benefits, facilities, depreciation, stock-based compensation, and development support services are not allocated specifically to projects and are considered research and development overhead.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is a summary of our research and development expenses for the three months ended March 31, 2026 and 2025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7654" w:type="dxa"/>
        <w:jc w:val="left"/>
        <w:tblInd w:w="0" w:type="dxa"/>
        <w:tblLayout w:type="fixed"/>
        <w:tblCellMar>
          <w:top w:w="0" w:type="dxa"/>
          <w:left w:w="0" w:type="dxa"/>
          <w:bottom w:w="0" w:type="dxa"/>
          <w:right w:w="0" w:type="dxa"/>
        </w:tblCellMar>
      </w:tblPr>
      <w:tblGrid>
        <w:gridCol w:w="2990"/>
        <w:gridCol w:w="60"/>
        <w:gridCol w:w="166"/>
        <w:gridCol w:w="647"/>
        <w:gridCol w:w="80"/>
        <w:gridCol w:w="80"/>
        <w:gridCol w:w="166"/>
        <w:gridCol w:w="647"/>
        <w:gridCol w:w="60"/>
        <w:gridCol w:w="60"/>
        <w:gridCol w:w="318"/>
        <w:gridCol w:w="856"/>
        <w:gridCol w:w="60"/>
        <w:gridCol w:w="60"/>
        <w:gridCol w:w="252"/>
        <w:gridCol w:w="967"/>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vs. 2025 </w:t>
            </w:r>
          </w:p>
        </w:tc>
        <w:tc>
          <w:tcPr>
            <w:tcW w:w="18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increased for the three months ended March 31, 2026, as compared to 2025, primarily due to higher Niyad development expenses, reflecting increased enrollment.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consist primarily of salaries, benefits and stock-based compensation for personnel engaged in commercialization, administration, finance and business development activities. Other significant expenses included allocated facility costs and professional fees for general legal, audit and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selling, general and administrative expenses for the three months ended March 31, 2026 and 2025, were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8299" w:type="dxa"/>
        <w:jc w:val="left"/>
        <w:tblInd w:w="0" w:type="dxa"/>
        <w:tblLayout w:type="fixed"/>
        <w:tblCellMar>
          <w:top w:w="0" w:type="dxa"/>
          <w:left w:w="0" w:type="dxa"/>
          <w:bottom w:w="0" w:type="dxa"/>
          <w:right w:w="0" w:type="dxa"/>
        </w:tblCellMar>
      </w:tblPr>
      <w:tblGrid>
        <w:gridCol w:w="3635"/>
        <w:gridCol w:w="60"/>
        <w:gridCol w:w="166"/>
        <w:gridCol w:w="647"/>
        <w:gridCol w:w="80"/>
        <w:gridCol w:w="80"/>
        <w:gridCol w:w="166"/>
        <w:gridCol w:w="647"/>
        <w:gridCol w:w="60"/>
        <w:gridCol w:w="60"/>
        <w:gridCol w:w="318"/>
        <w:gridCol w:w="856"/>
        <w:gridCol w:w="60"/>
        <w:gridCol w:w="60"/>
        <w:gridCol w:w="252"/>
        <w:gridCol w:w="967"/>
        <w:gridCol w:w="18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vs. 2025 </w:t>
            </w:r>
          </w:p>
        </w:tc>
        <w:tc>
          <w:tcPr>
            <w:tcW w:w="18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for the three months ended March 31, 2026, as compared to 2025, primarily due to a $0.3 million increase in compensation and related expenses largely due to an increase in estimated bonuses, a $0.1 million increase in consulting fees primarily related to Niyad market research, and a $0.1 million increase in board of director expenses as the board agreed to forego their cash compensation October 1, 2024 through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for the three months ended March 31, 2026 and 2025, was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8496" w:type="dxa"/>
        <w:jc w:val="left"/>
        <w:tblInd w:w="0" w:type="dxa"/>
        <w:tblLayout w:type="fixed"/>
        <w:tblCellMar>
          <w:top w:w="0" w:type="dxa"/>
          <w:left w:w="0" w:type="dxa"/>
          <w:bottom w:w="0" w:type="dxa"/>
          <w:right w:w="0" w:type="dxa"/>
        </w:tblCellMar>
      </w:tblPr>
      <w:tblGrid>
        <w:gridCol w:w="3875"/>
        <w:gridCol w:w="60"/>
        <w:gridCol w:w="188"/>
        <w:gridCol w:w="729"/>
        <w:gridCol w:w="90"/>
        <w:gridCol w:w="90"/>
        <w:gridCol w:w="188"/>
        <w:gridCol w:w="503"/>
        <w:gridCol w:w="60"/>
        <w:gridCol w:w="60"/>
        <w:gridCol w:w="240"/>
        <w:gridCol w:w="934"/>
        <w:gridCol w:w="60"/>
        <w:gridCol w:w="60"/>
        <w:gridCol w:w="177"/>
        <w:gridCol w:w="997"/>
        <w:gridCol w:w="185"/>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18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and other income, net, for the three months ended March 31, 2026 and 2025, primarily consisted of interest earned on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on change in fair value of warrant liability for the three months ended March 31, 2026 included a $1.2 million decrease in the fair value of our warrant liability, as compared to a $0.2 million decrease in the fair value for the first quarter of 2025, primarily due to a decline in stock price in both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31, 2026, we had cash, cash equivalents and investments totaling $21.1 million, compared to $20.4 million as of December 31, 2025. Our cash and investment balances are held in a variety of interest-bearing instruments. Cash in excess of immediate requirements is invested with a view toward capital preservation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date, we have incurred losses and generated negative cash flows from operations and we expect to incur significant losses in 2026 and may incur significant losses and negative cash flows from operations in the future. Although we raised additional capital during the three months ended March 31, 2026 through the sale of common stock and pre-funded warrants in the third closing of our April 2025 private placement (see Note 6, “Stockholders’ Equity” and Note 7, “Warrants” to our unaudited condensed consolidated financial statements in this Quarterly Report on Form 10-Q for additional information), considering our current cash resources and current and expected levels of operating expenses for the next twelve months, we expect to need additional capital to fund our planned operations prior to the twelve-month anniversary of the filing date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seek to raise such additional capital through public or private equity offerings, the issuance of debt securities, a new debt facility, or entering into product development, license or distribution agreements with third parties. Our existing capital resources will not be sufficient to fund our operations until such time as we may be able to generate sufficient revenues to sustain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our plans to raise additional funds will alleviate the conditions that raise substantial doubt about our ability to continue as a going concern, these plans are not entirely within our control and cannot be assessed as being probable of occurring. Additional funds may not be available when we need them on terms that are acceptable to us, or at all. If adequate funds are not available, we may be required to further reduce our workforce, delay, reduce the scope of, or cease, the development of our product candidates in advance of the date on which our cash resources are exhausted to ensure that we have sufficient capital to meet our obligations and continue on a path designed to preserve stockholder value. In addition, if we raise additional funds through collaborations, strategic alliances or licensing arrangements with third parties, we may have to relinquish rights to our technologies, future revenue streams or product candidates, or to grant licenses on terms that may not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Nasdaq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11, 2026, we received a notice from Nasdaq stating that we were not in compliance with Nasdaq Listing Rule 5550(a)(2) because our common stock failed to maintain a minimum closing bid price of $1.00 for 30 consecutive business days. This notice had no immediate effect on the Nasdaq listing or trading of our common stock. For additional information, please see “Part I., Item 1A. Risk Factors— Our common stock may be delisted from The Nasdaq Capital Market if we cannot regain compliance with Nasdaq’s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Cash Flows </w:t>
      </w:r>
    </w:p>
    <w:p>
      <w:pPr>
        <w:pStyle w:val="TextBody"/>
        <w:bidi w:val="0"/>
        <w:spacing w:before="0" w:after="0"/>
        <w:ind w:left="0" w:right="0" w:hanging="0"/>
        <w:jc w:val="left"/>
        <w:rPr>
          <w:caps w:val="false"/>
          <w:smallCaps w:val="false"/>
        </w:rPr>
      </w:pPr>
      <w:r>
        <w:rPr>
          <w:caps w:val="false"/>
          <w:smallCaps w:val="false"/>
        </w:rPr>
        <w:t> </w:t>
      </w:r>
    </w:p>
    <w:tbl>
      <w:tblPr>
        <w:tblW w:w="7002" w:type="dxa"/>
        <w:jc w:val="left"/>
        <w:tblInd w:w="0" w:type="dxa"/>
        <w:tblLayout w:type="fixed"/>
        <w:tblCellMar>
          <w:top w:w="0" w:type="dxa"/>
          <w:left w:w="0" w:type="dxa"/>
          <w:bottom w:w="0" w:type="dxa"/>
          <w:right w:w="0" w:type="dxa"/>
        </w:tblCellMar>
      </w:tblPr>
      <w:tblGrid>
        <w:gridCol w:w="4115"/>
        <w:gridCol w:w="60"/>
        <w:gridCol w:w="232"/>
        <w:gridCol w:w="1012"/>
        <w:gridCol w:w="148"/>
        <w:gridCol w:w="111"/>
        <w:gridCol w:w="232"/>
        <w:gridCol w:w="1012"/>
        <w:gridCol w:w="8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p>
        </w:tc>
        <w:tc>
          <w:tcPr>
            <w:tcW w:w="8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12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w:t>
            </w:r>
          </w:p>
        </w:tc>
        <w:tc>
          <w:tcPr>
            <w:tcW w:w="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1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discussion of our cash flows that follows includes the impact of discontinued operations. For additional information, see Note 3, “Discontinued Operations” to the unaudited condensed consolidated financial statements in this Quarterly Report on Form 10-Q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Cash Flows from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primary use of cash for our operating activities during these periods was to support our product development efforts for our product candidates. Our cash used in operating activities also reflects changes in our working capital, net of adjustments for non-cash charges, such as changes in the fair value of our warrant liability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operating activities of $3.4 million during the three months ended March 31, 2026, reflected a net loss of $2.6 million, and included an approximate $0.2 million net change in our operating assets and liabilities. Significant non-cash adjustments included $0.2 million in stock-based compensation expense and a $1.2 million decrease in the fair value of our warrant liability. The net change in our operating assets and liabilities was primarily due to a $0.3 million decrease in prepaid expenses and other current assets, a $0.2 million increase in accounts payable and a $0.3 million decrease in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operating activities of $3.5 million during the three months ended March 31, 2025, reflected a net loss of $2.6 million, and included an approximate $0.9 million net change in our operating assets and liabilities. Significant non-cash adjustments included $0.2 million in stock-based compensation expense, and a $0.2 million decrease in the fair value of our warrant liability. The net change in our operating assets and liabilities was primarily due to a $0.2 million increase in prepaid expenses and other current assets, a $0.3 million decrease in accounts payable and a $0.3 million decrease in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Cash Flows from 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investing activities have consisted primarily of our capital expenditures and purchases and sales and maturities of our available-for-sale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March 31, 2026, cash used in investing activities of $2.7 million was primarily the net result of $17.2 million in purchases of investments and $14.5 million in proceeds from maturity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Cash Flows from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 primarily reflect proceeds from the sale of our securities and payments made on debt financings, including the sale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March 31, 2026, cash provided by financing activities of $4.0 million was primarily due to cash received from the third closing of the April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Capital Commitments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current operating plan includes expenditures related to the development of our product candidates. Our operating plan includes anticipated activities required for the development and supply of our nafamostat product candidates. These assumptions may change as a result of many factors. We will continue to evaluate the work necessary to gain approval of our product candidates in the United States and intend to update our cash forecasts accordingly. Considering our current cash resources and current and expected levels of operating expenses for the next twelve months, we expect to need additional capital to fund our planned operations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future capital requirements may vary materially from our expectations based on numerous factors,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timely and successfully complete our clinical trial for the Niyad product candidate;</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60"/>
        <w:gridCol w:w="110"/>
        <w:gridCol w:w="7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timing and cost of the development of our other nafamostat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related to drafting and submission of new drug or device regulatory applications with the FDA for our developmental product candidates and payment of statutory filing fees and related application prosecution costs arising from such submissions;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associated with business development activities and licensing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and timing of the regulatory submissions for our product candidates and any approvals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60"/>
        <w:gridCol w:w="110"/>
        <w:gridCol w:w="77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related to the potential commercialization of our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60"/>
        <w:gridCol w:w="110"/>
        <w:gridCol w:w="98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initiation, progress, timing and completion of any post-approval clinical trials for our product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60"/>
        <w:gridCol w:w="110"/>
        <w:gridCol w:w="83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focus and direction of our business strategy and/or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1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that may be caused by changing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110"/>
        <w:gridCol w:w="87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filing and prosecuting patent applications and enforcing and defending patent claims;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10"/>
        <w:gridCol w:w="59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terms of future in-licensing and out-licensing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110"/>
        <w:gridCol w:w="78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and timing of establishing sales, marketing, manufacturing and distribution capabilities;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impact of trade laws and regulations of the United States associated with the use of our contract development and manufacturing organization, or CDMO, for nafamostat-based finished goods located in China;</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10"/>
        <w:gridCol w:w="8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procuring clinical supplies of our product candidates, and commercial supplies,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establishing new supply chains and related third party logistics to support our developmental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10"/>
        <w:gridCol w:w="87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acquire or invest in businesses, products and product candidates or technologies; and</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10"/>
        <w:gridCol w:w="32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expenses associated with litigation.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long term, our existing capital resources will not be sufficient to fund our operations until such time as we may be able to generate sufficient revenues to sustain our operations. We will have to raise additional funds through the sale of our equity securities, monetization of current and future assets, issuance of debt or debt-like securities or from development and licensing arrangements to sustain our operations and continue our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see “Part II., Item 1A. Risk Factors—Risks Related to Our Financial Condition and Need for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Rule 12b-2 of the Exchange Act and are not required to provide the information specified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defined in Exchange Act Rule 13a–15(e) and 15d-15(e))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Evaluation of disclosure controls and procedures. </w:t>
      </w:r>
      <w:r>
        <w:rPr>
          <w:rFonts w:ascii="Times New Roman" w:hAnsi="Times New Roman"/>
          <w:caps w:val="false"/>
          <w:smallCaps w:val="false"/>
          <w:sz w:val="20"/>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on Form 10-Q. Based on the foregoing, our Chief Executive Officer and Chief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Changes in internal control over financial reporting. </w:t>
      </w:r>
      <w:r>
        <w:rPr>
          <w:rFonts w:ascii="Times New Roman" w:hAnsi="Times New Roman"/>
          <w:caps w:val="false"/>
          <w:smallCaps w:val="false"/>
          <w:sz w:val="20"/>
        </w:rPr>
        <w:t>There have been no changes in our internal control over financial reporting that occurred during the period covered by this Quarterly Report on Form 10-Q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PART II.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may be involved in legal proceedings relating to intellectual property, commercial, employment and other matters arising in the ordinary course of business. Such matters are subject to uncertainty and there can be no assurance that such legal proceedings will not have a material adverse effect on our business, results of operations, financial position or cash flows. Please see discussion under the caption “Part I. Financial Information—Item 1. Financial Statements—Note 5, Commitments and Contingencies—Litigation”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This Quarterly Report on Form 10-Q contains forward-looking information based on our current expectations. Because our actual results may differ materially from any forward-looking statements made by or on behalf of us, this section includes a discussion of important factors that could affect our actual future results, including, but not limited to, our revenues, expenses, net loss and loss per share. You should carefully consider these risk factors, together with all of the other information included in this Quarterly Report on Form 10-Q as well as our other publicly available filings with the U.S. Securities and Exchange Commission, or SEC.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business is subject to numerous risks, as more fully described in this section below this summary. You should read these risks before you invest in our common stock. We may be unable, for many reasons, including those that are beyond our control, to implement our business strategy. In particular, our risks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There is substantial doubt regarding our ability to continue as a going concern. We require additional capital and may be unable to raise such capital, which would force us to delay, reduce or eliminate our commercialization efforts and product development programs and could cause us to be unable to continue to operate as a going concern and cease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listing of our securities trading on the Nasdaq exchange;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fail to realize the benefits expected from our acquisition of Lowell Therapeutics, Inc., or Lowell, which could adversely affect our stock price.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clinical trials are common and have many causes, and any delay could result in increased costs to us and jeopardize or delay our ability to obtain regulatory approval and commence product sales.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fail to properly conduct and/or successfully complete our clinical trial for our lead product candidate, Niyad.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experience delays or difficulties in enrolling patients in clinical trials, our receipt of necessary regulatory approvals could be delayed or prevented.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serious adverse effects or unexpected characteristics of our product candidates are identified during development, we may need to abandon or limit the development of some or all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expend our limited resources to pursue a particular product candidate or indication and fail to capitalize on product candidates or indications that may be more profitable or for which there is a greater likelihood of success.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process for obtaining approval of a Premarket Approval, or PMA, application or New Drug Application, or NDA, is time consuming, subject to unanticipated delays and costs, and requires the commitment of substantial resources.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expectations for U.S. Food and Drug Administration, or FDA, approvability of our product candidates may be inaccurate.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or current and potential partners, are unable to compete effectively, our products may not reach their commercial potential.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Coverage and adequate reimbursement may not be available for our product candidates, if approved, in the United States and in Europe, which could make it difficult for us, or our partners, to sell our products profitably.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and other regulatory agencies actively enforce the laws and regulations prohibiting the promotion of off-label uses.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or our partners are unable to establish and maintain relationships with group purchasing organizations any future revenues or future profitability could be jeopardized.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and future legislation may increase the difficulty and cost for us to commercialize our products and affect the prices we may obtain.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incurred significant losses since our inception and anticipate that we will continue to incur losses in the future.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fund our operations, and capital requirements, we may sell additional equity securities, which may result in dilution to our stockholders, or debt securities, which may impose restrictions on our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not yet generated significant product revenue and may never be profitable.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third party manufacturers and suppliers for our product candidates in Asia and the United States.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single sources of supply for the active ingredient and finished product for our nafamostat-based product candidates and any disruptions in the chain of supply may cause a delay in developing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issues may arise that could delay or increase costs related to product development and regulatory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third parties to conduct, supervise and monitor our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relationships with clinical investigators, health care professionals, consultants, commercial partners, third-party payers, hospitals, and other customers are subject to applicable anti-kickback, fraud and abuse and other healthcare laws, which could expose us to significant penalties.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disruptions of our information technology systems or data security incidents could result in significant financial, legal, regulatory, business and reputational harm to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interruptions could delay our operations and sales efforts.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success depends on our ability to retain key executives and to attract, retain and motivate qualified personnel.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involving patents, patent applications and other proprietary rights is expensive and time consuming.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enforce our intellectual property rights throughout the world.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market price of our common stock has historically been and may continue to be highly volatile.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a substantial number of shares of our common stock in the public market could cause our stock price to fall.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Macroeconomic uncertainties, including inflationary pressures, supply chain disruptions, labor shortages, significant volatility in global markets and recession risks have in the past and may continue to adversely affect our business, future results of operations, and financial condition, the effects of which remain uncertain.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Financial Condition and Need for Additional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incurred significant losses since our inception and anticipate that we will continue to incur losses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incurred significant net losses since our inception in July 2005. In addition, we have generated negative cash flows from operations and we expect to incur significant losses in 2026 and the foreseeable future. These conditions raise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devoted most of our financial resources to research and development, including our non-clinical development activities and clinical trials. To date, we have financed our operations primarily through the issuance of equity securities, borrowings and royalty financings. The size of our future net losses will depend, in part, on the rate of future expenditures and our ability to generate revenues. We expect to continue to incur substantial expenses as we support research and development activities for our product candidates. If our product candidates are not successfully developed or commercialized in the U.S., or if revenues are insufficient following marketing approval, we will not achieve profitability and our business may fail. Our success is also dependent on current and future collaborations to market our products outside of the United States, which may not materialize or prove to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require additional capital and may be unable to raise such capital, which would force us to delay, reduce or eliminate our product development programs and commercialization efforts and could cause us to be unable to continue to operate as a going concern and cease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Launch of a commercial pharmaceutical or medical device product and the required development activities associated with those products can be time consuming and costly. We expect to incur significant expenditures in connection with supporting our research and development activities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trials, regulatory reviews, and the launch of a commercial product are expensive activities. In addition, commercialization costs for our product candidates, if approved, in the United States may be significantly higher than estimated as a result of technical difficulties or otherwise. Revenues may be lower than expected and costs to produce such revenues may exceed those revenues. We will need to seek additional capital to continue operations. Such capital demands could be substantial. In the future, we may seek to raise such additional capital through public or private equity offerings, debt securities, a new debt facility, monetizing or securitizing certain assets, entering into product development, license or distribution agreements with third parties, or divesting any of our product candidates. Such arrangements may not be available on favorable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unsuccessful in efforts to raise additional capital, based on our current levels of operating expenses, our current capital is not expected to be sufficient to fund our operations for the next twelve months. These conditions raise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for the three months ended March 31, 2026, were prepared on the basis of a going concern, which contemplates that we will be able to realize our assets and discharge liabilities in the normal course of business. These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events and circumstances, including those beyond our control, may cause us to consume capital more rapidly than we currently anticipate. Furthermore, any product development, licensing, distribution or sale agreements that we enter into may require us to relinquish valuable rights. We may not be able to obtain sufficient additional funding or enter into a strategic transaction in a timely manner. If adequate funds are not available, we would be required to reduce our workforce, reduce the scope of, or cease, the development and subsequent potential commercial launch of our product candidates in advance of the date on which we exhaust our cash resources to ensure that we have sufficient capital to meet our obligations and continue on a path designed to preserve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Securing additional financing may divert our management from our day-to-day activities, which may adversely affect our ability to develop our product candidates. In addition, we cannot guarantee that future financing will be available in sufficient amounts or on terms acceptable to us, if at all. If we are unable to raise additional capital when required or on acceptable terms, we may be required to:</w:t>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10"/>
        <w:gridCol w:w="62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further scale back or discontinue the development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seek corporate partners for our product candidates on terms that might be less favorable than might otherwise be available;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relinquish, or license on unfavorable terms, our rights to technologies, products or product candidates that we otherwise would seek to develop or commercialize ourselves.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past several years, domestic and international financial markets have experienced, and they may continue to experience, extreme disruption from time to time, including, among other things, high volatility, significant declines in stock prices and severely diminished liquidity and credit availability for both borrowers and investors. Such adverse capital and credit market conditions could make it more difficult to obtain additional capital on favorable terms, or at all, which could have a material adverse effect on our business and growth prospects. For example, our ability to raise additional capital may be adversely impacted by deteriorating global economic conditions and the disruptions to and volatility in the credit and financial markets in the U.S. and worldwide resulting from the ongoing military conflicts between Hamas and Israel, and between Russia and Ukraine and related sanctions imposed against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To fund our operations and capital requirements, we may sell additional equity securities, which may result in dilution to our stockholders, or debt securities, or enter into a new debt facility which may impose restrictions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significant additional capital will be needed in the future to continue our planned operations and capital requirements. In the long-term, our existing capital resources will not be sufficient to fund our operations until such time as we may be able to generate sufficient revenues to sustain our operations. In order to raise additional funds to support our operations, we may sell additional equity securities. We may sell common stock, convertible securities, or other equity securities in one or more transactions at prices and in a manner we determine from time to time. Selling additional equity securities may result in dilution to our existing stockholders and new investors may be materially diluted by subsequent sales. Incurring additional indebtedness, including through the sale of debt securities or entering into a new debt facility, would result in increased fixed payment obligations and could also result in additional restrictive covenants, such as limitations on our ability to incur additional debt, limitations on our ability to acquire, sell or license intellectual property rights and other operating restrictions, such as minimum cash balances, that could adversely impact our ability to conduct our business. Sales of equity or debt securities may also provide new investors with rights superior to our existing stockholders. If we are unable to expand our operations or otherwise capitalize on our business opportunities, our business, financial condition and results of operations could be materially adversely affected, and we may not be able to meet our debt service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not yet generated significant product revenue and may never be profitable.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generate revenue from commercial sales and/or royalties and achieve profitability depends on our ability, alone and with collaborators, to successfully complete the development of, obtain the necessary regulatory approvals for, and commercialize our products. We do not anticipate generating significant near-term revenues from our product candidates, if approved, in the United States. Our ability to generate future revenues from product sales depends heavily on the success in:</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60"/>
        <w:gridCol w:w="110"/>
        <w:gridCol w:w="80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regulatory approval for our product candidates in the United States;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launching and commercializing our product candidates, if approved, in the United States by building, internally or through collaborations, an institutionally focused sales force, which may require additional funding.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the numerous risks and uncertainties associated with launching a commercial pharmaceutical or medical device product, necessary product development activities and the regulatory environment, we are unable to predict the timing or amount of increased expenses, or when, or if, we will be able to achieve or maintain profitability. Our expenses could increase beyond expectations if we are delayed in receiving regulatory approval for our product candidates in the United States, or if we are required by the FDA to complete activities in addition to those we currently anticipate or have already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2024, Alora notified us that they had discontinued their DSUVIA sales efforts to non-DoD customers.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were also notified in 2025 that Alora submitted a letter to the FDA to request the withdrawal of the DSUVIA NDA. While we have continued our efforts to facilitate sales of the remaining DSUVIA inventory held by Alora to the DoD, we have not obtained any orders from the DoD to purchase the remaining product available. If there are no orders for DSUVIA purchases from the DoD we expect that Alora will destroy the remaining DSUVIA inventory. We attempted to facilitate a longer-term supply arrangement for DSUVIA but were unsuccessful and do not believe there are any prospective parties currently interested in producing DSUVIA for commercial or DoD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Drug Development and Commercialization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fail to realize the benefits expected from our acquisition of Lowell, which could adversely affect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acquisition of Lowell is our largest acquisition to date. Our primary business strategy is focused on developing, obtaining approval, and commercializing our product candidates, including Niyad and LTX-608 that we acquired from Lowell. The anticipated benefits we expect from this acquisition are, necessarily, based on projections and assumptions about the combined businesses of our company and Lowell, which may not materialize as expected or which may prove to be inaccurate. The value of our common stock could be adversely affected if we are unable to realize the anticipated benefits from the acquisition on a timely basis or at all. Achieving the benefits of the acquisition of Lowell will depend, in part, on our ability to continue to integrate the business, operations and products of Lowell successfully and efficiently with our business. The challenges involved in this integration include, but are not limited to, (i) difficulties entering new markets and integrating new product candidates with which we have no or limited direct prior experience; and (ii) successfully managing relationships with our combined supplier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failure to identify or accurately assess the magnitude of certain liabilities we assumed in the acquisition could result in unexpected litigation or regulatory exposure, unfavorable accounting charges, unexpected increases in taxes due, a loss of anticipated tax benefits or other adverse effects on our business,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Delays in clinical trials are common and have many causes, and any delay could result in increased costs to us and jeopardize or delay our ability to obtain regulatory approval and commence product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experienced and may in the future experience delays in clinical trials of our product candidates. For example, to date, our NEPHRO CRRT clinical trial has had slower than expected site initiation and patient enrollment. Our FDA-required clinical trials for our product candidates could be delayed for a variety of reasons, including:</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10"/>
        <w:gridCol w:w="52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raise funding necessary to initiate or continue a trial;</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10"/>
        <w:gridCol w:w="35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pay significant FDA filing fees;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110"/>
        <w:gridCol w:w="4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obtaining regulatory approval to commence a trial;</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60"/>
        <w:gridCol w:w="110"/>
        <w:gridCol w:w="52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reaching agreement with the FDA on final trial design;</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10"/>
        <w:gridCol w:w="8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imposition of a clinical hold by the FDA, Institutional Review Board, or IRB, or other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reaching agreement on acceptable terms with prospective contract research organizations, or CROs, and clinical trial sites;</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60"/>
        <w:gridCol w:w="110"/>
        <w:gridCol w:w="44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obtaining required IRB approval at each site;</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60"/>
        <w:gridCol w:w="110"/>
        <w:gridCol w:w="57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recruiting suitable patients or subjects to participate in a trial;</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10"/>
        <w:gridCol w:w="77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in having patients complete participation in a trial or return for post-treatment follow-up;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sites dropping out of a trial to the detriment of enrollment or being delayed in entering data to allow for clinical trial database closure;</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10"/>
        <w:gridCol w:w="3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required to add new clinical sites;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10"/>
        <w:gridCol w:w="8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delays by our contract manufacturers to produce and deliver sufficient supply of clinical trial materials;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or quality of our product candidates or other materials necessary to conduct clinical trials of our product candidates may be insufficient or inadequate.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future FDA-required clinical trials are delayed for any reason, our development costs may increase, our approval process for our product candidates could be delayed, our ability to commercialize and commence sales of our product candidates could be materially harmed,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development efforts might not generate successful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plan to invest a significant portion of our efforts and financial resources in the identification or asset acquisition of our product candidates. Our ability to generate product revenue from our product candidates, which may not occur for many years, if ever, will depend heavily on the successful development and eventual commercialization of these product candidates. The success of these product candidates and any other product candidates we may develop, in-license or acquire will depend on many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10"/>
        <w:gridCol w:w="4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enrollment in, and completion of,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60"/>
        <w:gridCol w:w="110"/>
        <w:gridCol w:w="2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demonstrating safety and efficacy;</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60"/>
        <w:gridCol w:w="110"/>
        <w:gridCol w:w="56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marketing approvals from applicable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0"/>
        <w:gridCol w:w="110"/>
        <w:gridCol w:w="8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commercial manufacturing capabilities or making arrangements with third-party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0"/>
        <w:gridCol w:w="110"/>
        <w:gridCol w:w="9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patent and trade secret protection and non-patent exclusivity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10"/>
        <w:gridCol w:w="7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developing a sales and marketing organization or outsourcing these functions to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launching commercial sales of the product candidates, if and when approved, whether alone or selectively in collaboration with others;</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110"/>
        <w:gridCol w:w="97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acceptance of the product candidates, if and when approved, by patients, the medical community and third-party payers;</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10"/>
        <w:gridCol w:w="3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effectively competing with other products;</w:t>
            </w:r>
          </w:p>
        </w:tc>
      </w:tr>
    </w:tbl>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60"/>
        <w:gridCol w:w="110"/>
        <w:gridCol w:w="59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continued acceptable safety profile of the products following approval;</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110"/>
        <w:gridCol w:w="55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enforcing and defending intellectual property rights and claims; and</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10"/>
        <w:gridCol w:w="59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legal, regulatory, compliance, privacy, and fraud and abuse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do not accomplish one or more of these goals in a timely manner, or at all, we could experience significant delays or an inability to successfully commercialize our product candidates, which would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Before obtaining marketing approval from regulatory authorities for the sale of our product candidates, we must conduct extensive clinical trials to demonstrate the safety and efficacy of our product candidates in humans. Clinical testing is expensive, difficult to design and implement, can take many years to complete and is uncertain as to outcome. A failure of one or more clinical trials could occur at any stage of testing. The outcome of early clinical trials may not be predictive of the success of later clinical trials, and interim results of a particular clinical trial do not necessarily predict final results of that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Moreover, clinical data is often susceptible to multiple interpretations and analyses. Many companies that have believed their product candidates performed satisfactorily in preclinical studies and clinical trials have nonetheless failed to obtain marketing approval of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experience numerous unforeseen events during, or as a result of, clinical trials that could delay or prevent our ability to receive marketing approval or commercialize our product candidates, including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regulators or institutional review boards may not authorize us or our investigators to commence a clinical trial or conduct a clinical trial at a prospective trial site;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have delays in reaching or fail to reach agreement on acceptable clinical trial contracts or clinical trial protocols with prospective trial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of our product candidates may produce negative or inconclusive results, and we may decide, or regulators may require us, to conduct additional clinical trials or abandon product development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third-party contractors may fail to comply with regulatory requirements or meet their contractual obligations to us in a timely manner,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0"/>
        <w:gridCol w:w="110"/>
        <w:gridCol w:w="72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clinical trials of our product candidates may be greater than we anticipate;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or quality of our product candidates or other materials necessary to conduct clinical trials of our product candidates may be insufficient or inadequate.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 delayed in obtaining marketing approval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10"/>
        <w:gridCol w:w="30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obtain marketing approval at all;</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 approval for indications or patient populations that are not as broad as intended or desired;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 approval with labeling that includes significant use or distribution restrictions or safety warnings, including boxed warnings;</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10"/>
        <w:gridCol w:w="51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additional post-marketing testing requirements; or</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10"/>
        <w:gridCol w:w="6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have the product removed from the market after obtaining marketing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could allow our competitors to bring products to market before we do, and could impair our ability to successfully commercialize our product candidates, any of which may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experience delays or difficulties in enrolling patients in clinical trials, our receipt of necessary regulatory approvals could be delayed or prevented.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not be able to initiate or continue clinical trials for our product candidates if we are unable to identify and enroll a sufficient number of eligible patients to participate in these trials as required by the FDA, or analogous regulatory authorities outside the United States. In addition, some of our competitors may have ongoing clinical trials for product candidates that would treat the same indications as our product candidates, and patients who would otherwise be eligible for our clinical trials may instead enroll in clinical trials of our competitors’ product candidates. Patient enrollment is also affected by other factors, including:</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110"/>
        <w:gridCol w:w="35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severity of the disease under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availability and efficacy of approved medications for the disease under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60"/>
        <w:gridCol w:w="110"/>
        <w:gridCol w:w="34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eligibility criteria for the trial in question;</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10"/>
        <w:gridCol w:w="5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perceived risks and benefits of the product candidate under study;</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60"/>
        <w:gridCol w:w="110"/>
        <w:gridCol w:w="43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efforts to facilitate timely enrollment in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450" w:type="dxa"/>
        <w:jc w:val="left"/>
        <w:tblInd w:w="0" w:type="dxa"/>
        <w:tblLayout w:type="fixed"/>
        <w:tblCellMar>
          <w:top w:w="0" w:type="dxa"/>
          <w:left w:w="0" w:type="dxa"/>
          <w:bottom w:w="0" w:type="dxa"/>
          <w:right w:w="0" w:type="dxa"/>
        </w:tblCellMar>
      </w:tblPr>
      <w:tblGrid>
        <w:gridCol w:w="60"/>
        <w:gridCol w:w="110"/>
        <w:gridCol w:w="42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patient referral practices of health care professionals;</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60"/>
        <w:gridCol w:w="110"/>
        <w:gridCol w:w="59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monitor patients adequately during and after treatment; and</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10"/>
        <w:gridCol w:w="58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proximity and availability of clinical trial sites for prospective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inability to enroll enough patients for our clinical trials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serious adverse effects or unexpected characteristics of our product candidates are identified during development, we may need to abandon or limit the development of some or all of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impossible to predict when or if any of our product candidates will prove effective or safe in humans or will receive marketing approval. Adverse events or undesirable side effects caused by, or other unexpected properties of, our product candidates could cause us, any current or future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If adverse effects were to arise in patients being treated with any of our product candidates, it could require us to halt, delay or interrupt clinical trials of such product candidate or adversely affect our ability to obtain requisite approvals to advance the development and commercialization of such product candidate. If our product candidates are associated with undesirable side effects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limited financial and managerial resources. As a result, we may forego or delay the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process for obtaining approval of a PMA or NDA is time consuming, subject to unanticipated delays and costs, and requires the commitment of substantial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FDA determines that any of the clinical work submitted, including the clinical trials, Human Factors studies and bench testing submitted for a product candidate in support of a PMA or NDA were not conducted in full compliance with the applicable protocols for these trials, studies and testing as well as with applicable regulations and standards, or if the FDA does not agree with our interpretation of the results of such trials, studies and testing, the FDA may reject the data and results. The FDA may audit some or all of our clinical trial sites to determine the integrity of our clinical data. The FDA may audit some or all of our study sites to determine the integrity of our data and may audit the data and results of bench testing. Any rejection of any of our data would negatively impact our ability to obtain marketing authorization for our product candidates and would have a material adverse effect on our business and financial condition. In addition, an NDA or PMA may not be approved, or approval may be delayed, as a result of changes in FDA policies for drug or device approval during the review period. For example, although many products have been approved by the FDA in recent years under Section 505(b)(2) of the FDCA, objections have been raised to the FDA’s interpretation of Section 505(b)(2). If challenges to the FDA’s interpretation of Section 505(b) (2) are successful, the FDA may be required to change its interpretation, which could delay or prevent the approval of such an NDA. Any significant delay in the acceptance, review or approval of an NDA or PMA that we have submitted would have a material adverse effect on our business and financial condition and would require us to obtain significant additional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expectations for FDA approvability of our product candidates may be inaccurate, and we may be required to conduct additional manufacturing, nonclinical or clinical development work in order to obtain FDA approval for these products, which would add to our expenses and delay any associated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Nafamostat is being developed for use in both medical devices and drug indications. Although nafamostat is approved for certain uses in Japan, our ability to leverage that for an expedited development and approval pathway with the FDA may be limited, and we may be required to conduct additional unanticipated nonclinical studies and clinical trials in order to seek approval in the U.S. We are studying Niyad in the NEPHRO CRRT study under an investigational device exemption, or IDE. Niyad has received Breakthrough Device Designation from the FDA for regional anticoagulant for infusion into the extracorporeal circuit and is expected to be used during renal replacement therapy for acute kidney injury patients in the hospital and for end-stage renal disease patients receiving dialysis in outpatient clinics. We expect that Niyad will require approval of a PMA application for commercialization in the U.S., and as a company we have never submitted nor received approval for a PMA.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active drug component of Niyad, nafamostat, is also being developed for drug indications as LTX-608, for which we expect to submit Investigational New Drug applications once IND-enabling studies have been completed. We may be delayed in the submission of our planned INDs if there are unexpected findings in our nonclinical studies, which could also adversely impact our ongoing NEPHRO CRRT study and planned PMA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 key part of our business strategy is to establish collaborative relationships to commercialize and fund development and approval of our products, particularly outside of the United States. We may not succeed in establishing and maintaining collaborative relationships, which may significantly limit our ability to develop and commercialize our products successfully, if at 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need to establish and maintain successful collaborative relationships to obtain international sales, marketing and distribution capabilities for our products. The process of establishing and maintaining collaborative relationships is difficult, time-consuming and involves significant uncertainty.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seek to renegotiate or terminate their relationships with us due to unsatisfactory clinical or regulatory results, manufacturing issues, a change in business strategy, a change of control or other reasons;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contracts for collaborative arrangements are or may be terminable at will on written notice and may otherwise expire or terminate, and we may not have alternatives available to achieve the potential for our products in those territories or markets;</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60"/>
        <w:gridCol w:w="110"/>
        <w:gridCol w:w="7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choose to pursue alternative technologies, including those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have disputes with a partner that could lead to litigation or arbitration, including in connection with any contractual breach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limited control over the decisions of our partners, and they may change the priority of our programs in a manner that would result in termination of the agreement or add significant delays to the partnered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generate future payments and royalties from our partners depends upon the abilities of our partners to establish the safety and efficacy of our drugs and devices, maintain regulatory approvals and our ability to successfully manufacture and achieve market acceptance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or our partners may fail to properly initiate, maintain or defend our intellectual property rights, where applicable, or a party may use our proprietary information in such a way as to invite litigation that could jeopardize or potentially invalidate our proprietary information or expose us to potential liability;</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not devote sufficient capital or resources towards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partners may not comply with applicable government regulatory requirements necessary to successfully market and sell our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collaborator fails to fulfill its responsibilities in a timely manner, or at all, any research, clinical development, manufacturing or commercialization efforts pursuant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we may have to undertake development and commercialization activities at our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or current and potential partners, are unable to compete effectively, our products may not reach their commercial potential.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 biotechnology and pharmaceutical industries are characterized by intense competition and cost pressure. Our Niyad product candidate, if approved in the U.S., may compete with currently available anticoagulants such as heparin and citrate. The LTX-608 nafamostat product candidates, if approved in the U.S., may compete with existing or emerging third party products. The PFS product candidates, if approved in the U.S., may compete with other ready-to-use formulations of ephedrine and phenylephrine.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competitive factors affecting the commercial success of our approved products are likely to be efficacy, safety profile, reliability, convenience of dosing, price and reimbursement. Many of our competitors and potential competitors have substantially greater financial, technical and human resources than we do and significantly greater experience in the discovery and development of drug candidates, obtaining FDA and other regulatory approval of products, and the commercialization of those products. Accordingly, our competitors may be more successful than we are in obtaining FDA approval for drugs and devices and achieving widespread market acceptance. Our competitors’ drugs, devices or drug delivery systems may be more effective, have fewer adverse effects, be less expensive to develop and manufacture, or be more effectively marketed and sold than any product we may seek to commercialize. This may render our products obsolete or non-competitive. We anticipate that we will face intense and increasing competition as new drugs and devices enter the market, additional technologies become available, and competitors establish collaborative or licensing relationships, which may adversely affect our competitive position. These and other competitive risks may materially adversely affect our ability to attain or sustain profitable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Coverage and adequate reimbursement may not be available for our product candidates, if approved, in the United States and in Europe, which could make it difficult for us, or our partners, to sell our products profitably.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and our partners’ ability to commercialize our product candidates in the future, if approved, in the United States will depend, in part, on the extent to which coverage and adequate reimbursement will be available from government payer programs at the federal and state levels, authorities, including Medicare and Medicaid, private health insurers, managed care plans and other third-party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uniform policy requirement for coverage and reimbursement for drug products exists among third-party payers in the United States or Europe. Therefore, coverage and reimbursement can differ significantly from payer to payer. As a result, the coverage determination process is often a time-consuming and costly process that will require us or our partners to provide scientific and clinical support for the use of the approved products to each payer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products. Additionally, separate reimbursement for the product itself or the treatment or procedure in which the product is used may not be available, which may impact utilization. Our or our partners’ inability to promptly obtain and sufficiently maintain coverage and adequate reimbursement rates from third party payers could significantly harm our operating results, our ability to raise capital needed to commercialize our approved drugs and our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primary trend in the U.S. healthcare industry and elsewhere is cost containment. Government authorities and other third-party payers have attempted to control costs by limiting coverage and the amount of reimbursement for particular medical products. There have been a number of legislative and regulatory proposals to change the healthcare system in the United States and in some foreign jurisdictions that could affect our or our partners’ ability to sell the products profitably.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These legislative and/or regulatory changes may negatively impact the reimbursement for our products, following approval. The availability of numerous generic pain medications may also substantially reduce the likelihood of reimbursement for approved products in Europe and elsewhere. The application of user fees to generic drug products may expedite the approval of additional pain medication generic drugs. We would expect that our product candidates will experience pricing pressures in connection with the product sale due to the trend toward managed healthcare, the increasing influence of health maintenance organizations and additional legislative changes. If we or our partners fail to successfully secure and maintain reimbursement coverage for our products or are significantly delayed in doing so, there may be difficulty achieving market acceptance of our products and our business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market acceptance and sales of our products will depend on reimbursement policies and may be affected by future healthcare reform measures. Government authorities and third-party payers, such as private health insurers, hospitals and health maintenance organizations, decide which drugs and devices they will pay for and establish reimbursement levels. We cannot be sure that reimbursement will be available for our product candidates, if approved, in the United States or in Europe. Also, reimbursement amounts may reduce the demand for, or the price of, our products. For example, additional studies in Europe may be needed to ensure premium reimbursement in certain countries. If reimbursement is not available, or is available only to limited levels, we, or our partners, may not be able to successfully commercialize our product candidates, if approved, in the United States or in Europe.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regulations that govern marketing approvals, pricing, coverage and reimbursement for new drugs and devices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FDA and other regulatory agencies actively enforce the laws and regulations prohibiting the promotion of off-label uses.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found to have improperly promoted off-label uses of our products in the United States, we may become subject to significant liability. Such enforcement has become more common in the industry. The FDA and other regulatory agencies strictly regulate the promotional claims that may be made about prescription drug and medical device products. In particular, a product may not be promoted for uses that are not approved by the FDA or such other regulatory agencies as reflected in the product’s approved labeling. If the FDA determines that our or our partners’ public disclosures, promotional materials or training constitutes promotion of non-approved or off-label use, it could request modifications to disclosure policies, training or promotional materials or subject us or our partners to regulatory or enforcement actions, including the issuance of an untitled letter, a Warning Letter, injunction, seizure, civil fine or criminal penalties and a requirement for corrective advertising, including Dear Doctor letters. It is also possible that other federal, state or foreign enforcement authorities might take action if they consider our or our partners’ promotional or training materials to constitute promotion of non-approved or off-label use, which could result in significant civil, criminal and/or administrative penalties, damages, fines, disgorgement, individual imprisonment, exclusion from government-funded healthcare programs, such as Medicare and Medicaid, contractual damages, reputational harm, increased losses and diminished profits and the curtailment or restructuring of operations, any of which could adversely affect our or our partners’ ability to operate and, thus, adversely impact our business and our financial results. The FDA or other enforcement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in the United States, we could become subject to significant liability, which would materially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or our partners are unable to establish and maintain relationships with group purchasing organizations any future revenues or future profitability could be jeopardized.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end-users of pharmaceutical and medical device products have relationships with group purchasing organizations, or GPOs, whereby such GPOs provide such end-users access to a broad range of pharmaceutical and medical device products from multiple suppliers at competitive prices and, in certain cases, exercise considerable influence over the drug and device purchasing decisions of such end-users. Hospitals and other end-users contract with the GPO of their choice for their purchasing needs. We expect to derive revenue from end-user customers that are members of GPOs for our product candidates, if approved. Establishing and maintaining strong relationships with these GPOs will require us to be a reliable supplier, remain price competitive and comply with FDA regulations. We currently do not have any commercial products that we can distribute through our existing GPO partners. In addition, the GPOs with whom we do have relationships may have relationships with manufacturers that sell competing products, and such GPOs may earn higher margins from these products or combinations of competing products or may prefer products other than ours for other reasons. If we, or our partners, are unable to establish or maintain our GPO relationships, sales of our product candidates, if approved, and related revenues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Regulatory Approval of Our Product Candidates and Other Legal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Existing and future legislation may increase the difficulty and cost for us to commercialize our products and affect the prices we may obtain.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United States, the Patient Protection and Affordable Care Act, as amended by the Health Care and Education Reconciliation Act of 2010, or collectively, the Affordable Care Act, was enacted in an effort to, among other things, broaden access to health insurance, reduce or constrain the growth of healthcare spending, enhance remedies against fraud and abuse, impose new taxes and fees on the health industry and impose additional health policy reforms.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executive, judicial and Congressional challenges to certain aspects of the Affordable Care Act. For example, on July 4, 2025, the One Big Beautiful Bill Act, or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other legislative changes have been proposed and adopted in the United States since the Affordable Care Act was enacted. Aggregate reductions of Medicare payments to providers went into effect on April 1, 2013, and due to subsequent legislative amendments to the statute will stay in effect until 2032, unless Congressional action is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Legislative and regulatory proposals have been made to expand post-approval requirements and further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our products, if any,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additional healthcare reform measures will be adopted within and outside the United States in the future, any of which could negatively impact our business. The continuing efforts of the government, insurance companies, managed care organizations and other payers of healthcare services to contain or reduce costs of healthcare may adversely affect the demand for any drug or device products for which we have obtained or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Reliance on Third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will rely on third party manufacturers to produce clinical supplies of our product candidates. The failure of third-party manufacturers to provide us with adequate clinical supplies, and if approved, commercial supplies, could result in a material adverse effect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use third party manufacturers to produce clinical supplies of our product candidates. Reliance on third party manufacturers entails many risks including:</w:t>
      </w:r>
    </w:p>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10"/>
        <w:gridCol w:w="69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meet our product specifications and quality requirements consistently;</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meet regulatory standards and guidelines set by the appropriate governing bodies;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175" w:type="dxa"/>
        <w:jc w:val="left"/>
        <w:tblInd w:w="0" w:type="dxa"/>
        <w:tblLayout w:type="fixed"/>
        <w:tblCellMar>
          <w:top w:w="0" w:type="dxa"/>
          <w:left w:w="0" w:type="dxa"/>
          <w:bottom w:w="0" w:type="dxa"/>
          <w:right w:w="0" w:type="dxa"/>
        </w:tblCellMar>
      </w:tblPr>
      <w:tblGrid>
        <w:gridCol w:w="60"/>
        <w:gridCol w:w="110"/>
        <w:gridCol w:w="90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procure raw materials in a timely fashion due to ongoing challenges in the global supply chain;</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10"/>
        <w:gridCol w:w="6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delay or inability to procure or expand sufficient manufacturing capacity;</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10"/>
        <w:gridCol w:w="6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and product quality issues related to scale-up of manufacturing;</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10"/>
        <w:gridCol w:w="6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validation of new equipment and facilities required for scale-up;</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failure to maintain in good order our production and manufacturing equipment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10"/>
        <w:gridCol w:w="49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failure to comply with cGMP and similar foreign standards;</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10"/>
        <w:gridCol w:w="95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negotiate manufacturing or supply agreements with third parties under commercially reasonable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or nonrenewal of manufacturing or supply agreements with third parties in a manner or at a time that is costly or damaging to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reliance on a limited number of sources, and in some cases, single sources for essential product components or finished goods, such that if we are unable to secure a sufficient supply of these product components or finished goods, we will be unable to manufacture, supply and sell our products in a timely fashion, in sufficient quantities or under acceptable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lack of qualified secondary or backup suppliers for those essential components or finished goods that are currently purchased from a sole or single source supplier;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 of our third-party manufacturers or suppliers could be disrupted by conditions unrelated to our business or operations, including the bankruptcy of the manufacturer or supplier, economic sanctions, or government orders related to pandemics;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10"/>
        <w:gridCol w:w="8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carrier disruptions due to international conflicts and/or increased costs that are beyond our control; and</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10"/>
        <w:gridCol w:w="75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to deliver our products under specified storage conditions and in a timely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of these events could lead to stock outs, inability to successfully commercialize our products, if approved, clinical trial delays, or failure to obtain regulatory approval. Some of these events could be the basis for FDA action, including injunction, recall, seizure, or total or partial suspension of production. If any of these events were to occur, our business would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rely on limited sources of supply for the active ingredient and finished product of our nafamostat-based product candidates and any disruption in the chain of supply may cause a delay in developing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have a single source of supply for the active ingredient and finished product for our nafamostat-based product candidates. If supply from those vendors is interrupted or discontinued, or if we are unable to negotiate commercial supply agreements with them, there could be a significant impact on our development activities for those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our contract development and manufacturing organization, or CDMO, our sole-source for the finished goods of our nafamostat-based product candidates, is located in Asia, and we expect to rely on this supplier for the foreseeable future. Biotechnology companies and CDMOs based outside the U.S. may become subject to trade restrictions, sanctions, and other regulatory requirements by the U.S. government, which could restrict or even prohibit our ability to work with such entities, thereby potentially disrupting the supply of finished goods to us. In addition, the U.S. government has imposed tariffs on biopharmaceutical products imported from outside the U.S., which will increase our cost of doing business until we are able to source such products outside of jurisdictions subject to such tariffs. We have contracted with, or are in the process of pursuing contracts with, alternative suppliers or manufacturers outside of Asia for our finished goods for our nafamostat-based product candidates; however, any new CDMO would have to validate the manufacturing process at the new site which would require additional time and resources. In addition, we would need to obtain appropriate regulatory approvals before we could sell any product produced at that site. While we believe that our current manufacturing plan will provide us with alternative sources for such supplies, if supplies are interrupted, or the quality of finished goods provided by such alternative sources is not to our specification, it could cause delays in our supply chain and increase the cost of manufacturing our nafamostat-based product candidates,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Manufacturing issues may arise that could delay or increase costs related to product development and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relied, and will continue to rely, on contract manufacturers, fabricators and third-party service providers to produce the necessary Niyad product for clinical and non-clinical development and eventually for commercial sales. We currently outsource manufacturing and packaging of Niyad to third parties and intend to continue to do so. These purchases were made and will continue to be made utilizing short-term purchase order agreements and we may not be able to enter into long-term agreements for commercial supply with these third-party manufacturers or may be unable to do so on acceptable terms. In addition, we may encounter production issues with our current or future contract manufacturers and other third-party service providers, including the reliability of the production equipment, quality of the finished goods produced, their inability to meet demand or other unanticipated delays.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we scale up manufacturing of Niyad in the future to support commercial demand, and conduct required production and stability testing, these processes may require refinement or resolution. For example, as we scale up, we may identify significant issues which could result in failure to maintain regulatory approval of Niyad, increased scrutiny by regulatory agencies, delays in clinical development and regulatory approval, increases in our operating expenses, or failure to obtain approval for our product candidates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facilities of any of our future manufacturers of Niyad must be approved by the FDA before commercial distribution from such manufacturers occurs. We do not fully control the manufacturing process and are completely dependent on these third-party manufacturing partners for compliance with the FDA or other foreign regulatory agencies’ requirements for manufacture. In addition, although our third-party manufacturers are well-established manufacturers, we are dependent on their continued adherence to cGMP manufacturing and acceptable changes to their processes. If our manufacturers do not meet the FDA or other foreign regulatory agencies’ strict regulatory requirements, they will not be able to secure FDA or other foreign regulatory agency approval for their manufacturing facilities. If the FDA or the relevant foreign regulatory agency does not approve these facilities for the commercial manufacture of Niyad, we will need to find alternative suppliers, which would result in significant delays in obtaining regulatory agency approval. These challenges may have a material adverse impact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not be able to establish additional sources of supply for Niyad. Such suppliers are subject to FDA and other foreign regulatory agencies’ regulations requiring that materials be produced under cGMPs or Quality Management System Regulations, or QMSR. Failure by any of our suppliers to comply with applicable regulations may result in delays.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conduct, supervise and monitor our clinical trials, and if those third parties perform in an unsatisfactory manner, it may harm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utilize CROs for the development of our product candidates. We will rely on such CROs, as well as clinical trial sites, to ensure the proper and timely conduct of our clinical trials and document preparation. While we have agreements or will enter into such agreements governing their activities, we have limited influence over their actual performance. We have plans to rely upon CROs to monitor and manage data for post-approval clinical programs or any FDA-required clinical programs for our product candidates, as well as the execution of non-clinical and clinical trials. We control only certain aspects of our CROs’ activities. Nevertheless, we are responsible for ensuring that each of our trials is conducted in accordance with the applicable protocol, legal, regulatory and scientific standards and our reliance on the CROs does not relieve us of our regulatory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and our CROs are required to comply with the FDA’s current good clinical practices, or cGCPs, which are regulations and guidelines enforced by the FDA for all product candidates in clinical development. The FDA enforces these cGCPs through periodic inspections of trial sponsors, principal investigators and clinical trial sites. If we or our CROs fail to comply with applicable cGCPs, the clinical data generated in our clinical trials may be deemed unreliable and the FDA may require us to perform additional clinical trials before approving our marketing applications. Upon inspection, the FDA may determine that our clinical trials do not comply with cGCPs. Accordingly, if our CROs or clinical trial sites fail to comply with these regulations, we may be required to repeat clinical trials, which would delay the regulatory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CROs are not our employees, and we cannot control whether or not they devote sufficient time and resources to our ongoing clinical and non-clinical programs. These CROs may also have relationships with other commercial entities, including our competitors, for whom they may also be conducting clinical trials, or other drug or medical device development activities which could harm our competitive position. We face the risk of potential unauthorized disclosure or misappropriation of our intellectual property by CROs, which may allow our potential competitors to access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if approved, would be harmed, our costs could increase, and our ability to generate revenues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Business Operations and Industry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relationships with clinical investigators, health care professionals, consultants, commercial partners, third-party payers, hospitals, and other customers are subject to applicable anti-kickback, fraud and abuse and other healthcare laws, which could expose us to significant penalties.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Healthcare providers, including physicians, and others play a primary role in the recommendation and prescribing of any products for which we may obtain marketing approval. Our business operations and arrangements with investigators, healthcare professionals, consultants, commercial partners, hospitals, third-party payers and customers may expose us to broadly applicable fraud and abuse and other healthcare laws. These laws may constrain the business or financial arrangements and relationships through which we research, market, sell and distribute the products for which we obtain marketing approval. Applicable federal and state healthcare laws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healthcare Anti-Kickback Statute, which prohibits, among other things, persons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healthcare programs such as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civil and criminal false claims laws, which prohibit, among other things, individuals or entities from knowingly presenting, or causing to be presented, to the federal government, claims for payment or approval that are false or fraudulent or from knowingly making a false statement to improperly avoid, decrease or conceal an obligation to pay money to the federal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 Insurance Portability and Accountability Act of 1996, or HIPAA,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payer (e.g., public or private) and knowingly or willfully falsifying, concealing, or covering up by any trick or device a material fact or making any materially false statement in connection with the delivery of, or payment for, healthcare benefits, items or services relating to healthcare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HIPAA, as amended by the Health Information Technology for Economic and Clinical Health Act, or HITECH, and their implementing regulations, which impose certain obligations, including mandatory contractual terms, on covered healthcare providers, health plans and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laws, regulations, standards and regulatory guidance which govern the collection, use, disclosure, retention, security and transfer of personal data, including the European Union General Data Privacy Regulation, or GDPR, which introduces strict requirements for processing personal data of individuals within the European Union;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Physician Payment Sunshine Act, enacted as part of the Affordable Care Act, and its implementing regulations, which requires certain manufacturers of drugs, devices, biologicals and medical supplies to report annually to the Centers for Medicare &amp; Medicare Services, or CMS information related to payments and other transfers of value provided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analogous state laws that may apply to our business practices, including but not limited to, state laws that require pharmaceutical companies to implement compliance programs and/or comply with the pharmaceutical industry’s voluntary compliance guidelines; state laws that impose restrictions on pharmaceutical companies’ marketing practices and require manufacturers to track and file reports relating to pricing and marketing information, which requires tracking and reporting gifts, compensation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with differing effects;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Foreign Corrupt Practices Act of 1977, United Kingdom Bribery Act 2010 and other similar anti-bribery laws in other jurisdictions which generally prohibit companies and their intermediaries from providing money or anything of value to officials of foreign governments, foreign political parties, or international organizations with the intent to obtain or retain business or seek a business advantage.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determination that our operations or activities are not, or were not, in compliance with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Efforts to ensure that our business arrangements with third parties will comply with applicable healthcare laws involve substantial costs. It is possible that governmental authorities will conclude that our or our partners’ business practices may not comply with current or future statutes, regulations, agency guidance or case law involving applicable fraud and abuse or other healthcare laws. If our operations are found to be in violation of any of these or any other healthcare regulatory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increased losses and diminished profits, additional oversight and reporting obligations if we become subject to a corporate integrity agreement or other agreement to resolve allegations of non-compliance with these laws, and the curtailment or restructuring of our operations any of which could adversely affect our ability to operate our business and our financial results. Any action against us for violation of these laws, even if we successfully defend against it, could cause us to incur significant legal expenses or divert our management’s attention from the operation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Significant disruptions of our information technology systems or data security incidents could result in significant financial, legal, regulatory, business and reputational harm to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confidential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In addition, the prevalent use of mobile devices increases the risk of data 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disruptions of our third-party vendors’ and/or business partners’ information technology systems or other similar data security incidents could adversely affect our business operations and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way of knowing with certainty whether we have experienced any data security incidents that have not been discovered. While we have no reason to believe this to be the case, attackers have become very sophisticated in the way they conceal access to systems, and many companies that have been attacked are not aware that they have been attacked. Any event that leads to unauthorized access, use or disclosure of personal information, including but not limited to personal information regarding our patients or employees, could disrupt our business, harm our reputation, compel us to comply with applicable federal and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or business partners to comply with our privacy, confidentiality or data security-related legal or other obligations to third parties, or any further security incidents or other inappropriate access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 While we have implemented security measures and obtained and maintain cybersecurity insurance intended to protect our information technology systems and infrastructure, there can be no assurance that such measures will successfully prevent service interruptions or security incidents, or adequately protect us against any such occurrences.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Business interruptions could delay our operations and sales efforts.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headquarters is located in the San Francisco Bay Area, near known earthquake fault zones and is vulnerable to significant damage from earthquakes. Our contract manufacturers, suppliers, clinical trial sites and local and national transportation vendors are all subject to business interruptions due to weather, outbreaks of pandemic diseases, natural disasters, or man-made incidents. We are also vulnerable to other types of natural disasters and other events that could disrupt our operations. If any of these events occurred and prevented us or third parties on which we rely from using all or a significant portion of our or their facilities, it may be difficult or, in certain cases, impossible for us to continue our business and operations for a substantial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future success depends on our ability to retain key executives and to attract, retain and motivate qualified personnel.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highly dependent on the principal members of our executive team, the loss of whose services may adversely impact the achievement of our objectives. While we have entered into offer letters with each of our executive officers, any of them could leave our employment at any time, as all of our employees are “at will” employees. Recruiting and retaining qualified scientific, manufacturing, and commercial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There is currently a shortage of skilled executives in our industry, which is likely to continue. As a result, competition for skilled personnel is intense and the turnover rate can be high. In addition, failure to succeed in clinical trials, or delays in the regulatory approval process, may make it more challenging to recruit and retain qualified personnel. The inability to recruit or loss of the services of any executive or key employee might impede the progress of our research, development and commercialization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may acquire companies, product candidates or products or engage in strategic transactions, which could divert our management</w:t>
      </w:r>
      <w:r>
        <w:rPr>
          <w:rFonts w:ascii="Times New Roman" w:hAnsi="Times New Roman"/>
          <w:caps w:val="false"/>
          <w:smallCaps w:val="false"/>
          <w:sz w:val="20"/>
        </w:rPr>
        <w:t>’</w:t>
      </w:r>
      <w:r>
        <w:rPr>
          <w:rFonts w:ascii="Times New Roman" w:hAnsi="Times New Roman"/>
          <w:b/>
          <w:i/>
          <w:caps w:val="false"/>
          <w:smallCaps w:val="false"/>
          <w:sz w:val="20"/>
        </w:rPr>
        <w:t xml:space="preserve">s attention and cause us to incur various costs and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acquire or invest in companies, product candidates or products that we believe could complement or expand our business or otherwise offer growth opportunities. The pursuit of potential acquisitions or investments may divert the attention of management and has caused, and in the future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 In addition, the acquisition of product candidates and products is a highly competitive area, and many other companies are pursuing the same or similar product candidates to those that we may consider attractive. Larger companies with more well-established and diverse revenue streams may have a competitive advantage over us due to their size, financial resources and more extensive clinical development and commercialization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we receive inquiries relating to potential strategic transactions, including collaborations, licenses, and acquisitions. Such potential transactions may divert the attention of management and may cause us to incur various costs and expenses in investigating and evaluating such transactions, whether or not they are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exposed to the risk that our employees, independent contractors, investigators, consultants, commercial partners and vendors may engage in fraudulent conduct or other illegal activity. Misconduct by these parties could include intentional, reckless and/or negligent conduct that violates (1) regulations implemented by the FDA and similar foreign regulatory bodies; (2) laws requiring the reporting of true, complete and accurate information to such regulatory bodies; (3) healthcare fraud and abuse laws of the United States and similar foreign fraudulent misconduct laws; and (4) laws requiring the reporting of financial information or data accurately. The promotion, sales and marketing of healthcare items and services, as well as certain business arrangements in the healthcare industry are subject to extensive laws designed to prevent misconduct, including fraud, kickbacks, self-dealing and other abusive practices. These laws may restrict or prohibit a wide range of pricing, discounting, marketing, structuring and commission(s), certain customer incentive programs and other business arrangements generally. Activities subject to these laws also involve the improper use of information obtained in the course of patient recruitment for clinical trials. It is not always possible to identify and deter employee and other third-party misconduct. The precautions we take to detect and prevent inappropriate conduct may not be effective in controlling unknown or unmanaged risks or losses or in protecting us from governmental investigations or other actions or lawsuits stemming from a failure to comply with these laws. If any such actions are instituted against us, and we are not successful in defending ourselves, those actions could have a significant impact on our business, including the imposition of significant civil, criminal and administrative penalties, damages, monetary fines, disgorgement, imprisonment, additional oversight and reporting obligations if we become subject to a corporate integrity agreement or similar agreements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we cannot defend our issued patents from third party claims or if our pending patent applications fail to issue, our business could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protect our proprietary technology, we rely on patents as well as other intellectual property protections including trade secrets, nondisclosure agreements, and confidentiality provisions. We are pursuing a number of U.S. patent applications and foreign national applications directed to our product candidates. The patent applications that we have filed and have not yet been granted may fail to result in issued patents in the United States or in foreign countries. Even if the patents successfully issue, third parties may challenge the patents. We have entered into the DSUVIA Agreement with Alora pursuant to which Alora acquired all patents and trademarks related to DSUVIA and DZUVEO. In addition, we and Alora entered into an intellectual property agreement pursuant to which Alora granted fully-paid, royalty-free and perpetual licenses to us under certain specified intellectual property rights acquired by Alora under the DSUVIA Agreement for, among other things, the development, manufacture, commercialization and exploitation of certain products, including Zalviso.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commercial success will depend in part on successfully defending our current patents against third party challenges and expanding our existing patent portfolio to provide additional layers of patent protection, as well as extending patent protection. There can be no assurance that we will be successful in defending our existing and future patents against third party challenges, or that our pending patent applications will result in additional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patent positions of pharmaceutical companies, including ours, can be highly uncertain and involve complex and evolving legal and factual questions. No consistent policy regarding the breadth of claims allowed in pharmaceutical patents has emerged to date in the United States. Legal developments may preclude or limit the scope of available patent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There is also no assurance that any patents issued to us will not become the subject of adversarial or post-issuance proceedings such as opposition,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 post-grant review, </w:t>
      </w:r>
      <w:r>
        <w:rPr>
          <w:rFonts w:ascii="Times New Roman" w:hAnsi="Times New Roman"/>
          <w:i/>
          <w:caps w:val="false"/>
          <w:smallCaps w:val="false"/>
          <w:sz w:val="20"/>
        </w:rPr>
        <w:t>ex parte</w:t>
      </w:r>
      <w:r>
        <w:rPr>
          <w:rFonts w:ascii="Times New Roman" w:hAnsi="Times New Roman"/>
          <w:caps w:val="false"/>
          <w:smallCaps w:val="false"/>
          <w:sz w:val="20"/>
        </w:rPr>
        <w:t xml:space="preserve"> re-examination or other post-issuance proceedings. In addition, there is no assurance that the relevant patent office court or agency in such adversarial proceedings would not make unfavorable decisions, such as reducing the scope of a patent of ours, invalidating issued claims or determining that a patent of ours is invalid or unenforceable. There is also no assurance that any patents issued to us will provide us with competitive advantages, will not be challenged by any third parties, or that the patents of others will not prevent the commercialization of products incorporating our technology. Furthermore, there can be no guarantee that others will not independently develop similar products, duplicate any of our products, or design around our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Litigation involving patents, patent applications and other proprietary rights is expensive and time consuming. If we are involved in such litigation, it could cause delays in bringing our products to market and interfere with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commercial success depends in part on our not infringing patents or misappropriating trademarks or other third-party intellectual property rights. Although we are not currently aware of litigation or other proceedings or third-party claims of intellectual property infringement or misappropriation related to our product candidates, the pharmaceutical industry is especially prone to extensive litigation proceedings between competitors regarding their patents and other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we enter our target markets, it is possible that competitors or other third parties will claim that our products and/or processes infringe or misappropriate their intellectual property rights. These third parties may have obtained and may in the future obtain patents covering products or processes that are similar to our products, or may include composition or method claims that encompass our technology, allowing them to assert that our continued use of our own technologies infringes such newly emerging patent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a patent infringement claim is asserted against us, we may counter, as an affirmative defense, that we do not infringe the relevant patent claims, that the patent is invalid or otherwise unenforceable or any combination thereof. The strength of our defenses will depend on the patents asserted, the interpretation of those patents, and our ability to establish the invalidity of the asserted patents. However, we could be unsuccessful in advancing non-infringement, invalidity or unenforceability arguments in our defense. In the United States, issued patents enjoy a presumption of validity, and the party challenging the validity of a patent claim must present clear and convincing evidence of invalidity, which is a high burden of proof. Conversely, the patent owner needs only prove infringement by a preponderance of the evidence, which is a lower burden of proof.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court in a final and non-appealable decision were to hold that we have infringed someone else’s valid patent claim, we could be prevented from using that third-party patented technology and may also be required to pay the owner of the patent for damages for past sales and need to seek license access to the patented technology for future sales. If we decide to pursue such a license to one or more of these patents, we may not be able to obtain a license on commercially reasonable terms, if at all, or the license we obtain may require us to pay substantial royalties or grant cross licenses to our patent rights. For example, if the relevant patent is owned by a competitor, that competitor may choose not to license patent rights to us. If we decide to develop alternative technology to avoid such third-party patent claims, we may not be able to do so in a timely or cost-effective manner,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because patent applications remain unpublished for 18 months from their initial filing date and some applications may be afforded confidentiality during prosecution that can take years to issue, there may currently be pending applications that are unknown to us and that may later result in issued patents that could cover one or more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possible that we may in the future receive communications from competitors and other companies alleging that we may be infringing their patents, misappropriating their trade secrets or otherwise violating their intellectual property rights, where they may offer license access to such intellectual property or threaten litigation. In addition to patent infringement claims, third parties may assert copyright, trademark or other intellectual property rights against us. We may need to expend considerable resources to counter such claims and may not be successful in our defense. Our business may suffer if a finding of infringement or misappropriation is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It is difficult and costly to protect our proprietary rights, and we may not be able to ensure their protection.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patent positions of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The pharmaceutical patent situation outside the United States is just as uncertain. Changes in either the patent laws or in interpretations of patent laws in the United States and other countries may diminish the value of our intellectual property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cannot predict the breadth of claims that may be allowed or enforced in the patents that may issue from the applications that we currently have pending or may in the future file ourselves or acquire or license from third parties. Claims could be brought regarding the validity of our patents by third parties. Further, if any patent right that we obtain is deemed invalid and/or unenforceable, it could impact our ability to commercialize or partner 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Competitors or third parties may infringe our patents. We may decide it is necessary to assert patent infringement claims against such entities, which can be expensive and time-consuming. In addition, in an infringement proceeding, a court may decide that a patent of ours is not valid or is unenforceable, or that the third party’s technology does not in fact infringe upon our patents. An adverse determination of any litigation or defense proceedings could put one or more of our patents at risk of being invalidated or interpreted narrowly and could put our related pending patent applications at risk of not issuing. Litigation may fail and, even if successful, may result in substantial costs and be a distraction to our management. We may not be able to prevent misappropriation of our intellectual property rights, particularly in countries outside the United States where national laws and court systems are less robust, making patent rights more difficult to enforce, and very expensive to pursue.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degree of future protection for our proprietary rights is uncertain, and we cannot ensure that:</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10"/>
        <w:gridCol w:w="8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make the inventions covered by each of our pending patent applications or issued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patent applications were filed before the inventions covered by each patent or patent application was published by a third-party;</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110"/>
        <w:gridCol w:w="51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were the first to file patent applications for these inventions;</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10"/>
        <w:gridCol w:w="89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 will not independently develop similar or alternative technologies or duplicate any of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patents issued to us or our collaborators will provide a basis for commercially viable products, will provide us with any competitive advantages or will not be challenged by third parties; or</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patents of others will not have an adverse effect on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do not adequately protect our intellectual property rights, competitors may be able to use our technologies and erode or negate any competitive advantage we may have, which could materially harm our business, negatively affect our position in the marketplace, limit our ability to commercialize any of our product opportunities, if approved, and delay or render impossible our achievement of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be unable to adequately prevent disclosure of trade secrets and other proprietary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rely on trade secrets to protect our proprietary knowledge and technological advances, especially where we do not believe patent protection is appropriate or obtainable. However, trade secrets are difficult to protect. We rely in part on confidentiality agreements with our business partners,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without misappropriating our rights.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Periodic maintenance fees, renewal fees, annuity fees and various other governmental fees on patents and applications will be due to be paid to the United States Patent and Trademark Office and various foreign governmental patent agencies in several stages over the lifetime of the patents and/or applications.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systems in place, including the use of third-party vendors, to manage payment of periodic maintenance fees, renewal fees, annuity fees and various other patent and application fees. The United States Patent and Trademark Office, or the USPTO, and various foreign governmental patent agencies require compliance with a number of procedural, documentary, fee payment and other similar provisions during the patent application process. There are situations in which noncompliance can result in abandonment or lapse of the patent or patent application, resulting in partial or complete loss of patent rights in the relevant jurisdiction. If this occurs, our competitors might be able to enter the market, which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enforce our intellectual property rights throughout the world.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Additionally, claims may be brought regarding the validity of our patents by third parties in the United States and foreign countries. In addition, changes in the law and legal decisions by courts in the United States and foreign countries may affect our ability to obtain adequate protection for our technology and the enforcement of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have not yet registered our trademarks in all our potential markets, and failure to secure those registrations could adversely affect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filed a trademark application for TALPHERA in the United States and will file related trademark applications in other major foreign pharmaceutical jurisdictions of interest. In addition, we have obtained approval of our Niyad and Fedsyra marks in the United States and are awaiting our first use of those marks in commerce in order to secure our federal registrations. Although we are not currently aware of any oppositions to or cancellations of our registered trademarks or pending applications, it is possible that one or more of the applications and/or registrations could be subject to rejection, opposition or cancellation. In addition, we will need to seek FDA approval to use Niyad and other potential product trademarks as part of future potential applications for marketing approval of the relevant developmental products. The registrations will be subject to use and maintenance requirements. It is also possible that we have not yet registered all of our trademarks in all of our potential markets, and that there are names or symbols that may be protectable marks for which we have not sought registration, and failure to secure those registrations could adversely affect our business. Opposition or cancellation proceedings may be filed against our trademarks and our trademarks may not survive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Related to Ownership of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The market price of our common stock has historically been and may continue to be highly volatile.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trading price of our common stock has experienced significant volatility and is likely to be volatile in the future. Our stock price could be subject to wide fluctuations in response to a variety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110"/>
        <w:gridCol w:w="76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successfully develop and commercialize our product candidates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10"/>
        <w:gridCol w:w="7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obtain additional funding needed to conduct our planned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110"/>
        <w:gridCol w:w="5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integration and performance of any assets or businesses we acquire;</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60"/>
        <w:gridCol w:w="110"/>
        <w:gridCol w:w="7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develop and commercialize products and product candidates that we in-license;</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10"/>
        <w:gridCol w:w="53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perception of limited market sizes or pricing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60"/>
        <w:gridCol w:w="110"/>
        <w:gridCol w:w="1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safety issues;</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results or delays in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110"/>
        <w:gridCol w:w="47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laws or regulations applicable to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10"/>
        <w:gridCol w:w="85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obtain adequate product supply for our products, or the inability to do so at acceptable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560" w:type="dxa"/>
        <w:jc w:val="left"/>
        <w:tblInd w:w="0" w:type="dxa"/>
        <w:tblLayout w:type="fixed"/>
        <w:tblCellMar>
          <w:top w:w="0" w:type="dxa"/>
          <w:left w:w="0" w:type="dxa"/>
          <w:bottom w:w="0" w:type="dxa"/>
          <w:right w:w="0" w:type="dxa"/>
        </w:tblCellMar>
      </w:tblPr>
      <w:tblGrid>
        <w:gridCol w:w="60"/>
        <w:gridCol w:w="110"/>
        <w:gridCol w:w="2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regulatory decisions;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10"/>
        <w:gridCol w:w="48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structure of the healthcare payment systems;</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10"/>
        <w:gridCol w:w="60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introduction of new products, services or technologies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meet or exceed financial projections we provide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10"/>
        <w:gridCol w:w="6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meet or exceed the estimates and projections of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our collaboration partners regarding market access, pricing, and commercialization efforts in countries where they have the right to commercialize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10"/>
        <w:gridCol w:w="6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maintain our existing collaborations or enter into new collaborations;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perception of the pharmaceutical industry generally, and of opioid manufacturers more specifically, by the public, legislatures, regulators and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significant acquisitions, strategic partnerships, joint ventures, or other significant transactions, including disposition transactions,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disputes or other developments relating to employment matters, business development efforts,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110"/>
        <w:gridCol w:w="54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of key management or scientific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associated with potential governmental investigations, inquiries, regulatory actions or lawsuits that may be brought against us as a result of us being an opioid manufacturer;</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110"/>
        <w:gridCol w:w="9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types of significant lawsuits, including patent, stockholder, securities class action and derivative litigation;</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10"/>
        <w:gridCol w:w="44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10"/>
        <w:gridCol w:w="53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or our stockholders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110"/>
        <w:gridCol w:w="5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compliance with Nasdaq listing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110"/>
        <w:gridCol w:w="2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liquidity of our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110"/>
        <w:gridCol w:w="30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common stock may be</w:t>
      </w:r>
      <w:r>
        <w:rPr>
          <w:rFonts w:ascii="Times New Roman" w:hAnsi="Times New Roman"/>
          <w:caps w:val="false"/>
          <w:smallCaps w:val="false"/>
          <w:sz w:val="20"/>
        </w:rPr>
        <w:t> </w:t>
      </w:r>
      <w:r>
        <w:rPr>
          <w:rFonts w:ascii="Times New Roman" w:hAnsi="Times New Roman"/>
          <w:b/>
          <w:i/>
          <w:caps w:val="false"/>
          <w:smallCaps w:val="false"/>
          <w:sz w:val="20"/>
        </w:rPr>
        <w:t>delisted</w:t>
      </w:r>
      <w:r>
        <w:rPr>
          <w:rFonts w:ascii="Times New Roman" w:hAnsi="Times New Roman"/>
          <w:caps w:val="false"/>
          <w:smallCaps w:val="false"/>
          <w:sz w:val="20"/>
        </w:rPr>
        <w:t> </w:t>
      </w:r>
      <w:r>
        <w:rPr>
          <w:rFonts w:ascii="Times New Roman" w:hAnsi="Times New Roman"/>
          <w:b/>
          <w:i/>
          <w:caps w:val="false"/>
          <w:smallCaps w:val="false"/>
          <w:sz w:val="20"/>
        </w:rPr>
        <w:t>from The</w:t>
      </w:r>
      <w:r>
        <w:rPr>
          <w:rFonts w:ascii="Times New Roman" w:hAnsi="Times New Roman"/>
          <w:caps w:val="false"/>
          <w:smallCaps w:val="false"/>
          <w:sz w:val="20"/>
        </w:rPr>
        <w:t> </w:t>
      </w:r>
      <w:r>
        <w:rPr>
          <w:rFonts w:ascii="Times New Roman" w:hAnsi="Times New Roman"/>
          <w:b/>
          <w:i/>
          <w:caps w:val="false"/>
          <w:smallCaps w:val="false"/>
          <w:sz w:val="20"/>
        </w:rPr>
        <w:t>Nasdaq</w:t>
      </w:r>
      <w:r>
        <w:rPr>
          <w:rFonts w:ascii="Times New Roman" w:hAnsi="Times New Roman"/>
          <w:caps w:val="false"/>
          <w:smallCaps w:val="false"/>
          <w:sz w:val="20"/>
        </w:rPr>
        <w:t> </w:t>
      </w:r>
      <w:r>
        <w:rPr>
          <w:rFonts w:ascii="Times New Roman" w:hAnsi="Times New Roman"/>
          <w:b/>
          <w:i/>
          <w:caps w:val="false"/>
          <w:smallCaps w:val="false"/>
          <w:sz w:val="20"/>
        </w:rPr>
        <w:t>Capital Market if we cannot regain compliance with Nasdaq</w:t>
      </w:r>
      <w:r>
        <w:rPr>
          <w:rFonts w:ascii="Times New Roman" w:hAnsi="Times New Roman"/>
          <w:caps w:val="false"/>
          <w:smallCaps w:val="false"/>
          <w:sz w:val="20"/>
        </w:rPr>
        <w:t>’</w:t>
      </w:r>
      <w:r>
        <w:rPr>
          <w:rFonts w:ascii="Times New Roman" w:hAnsi="Times New Roman"/>
          <w:b/>
          <w:i/>
          <w:caps w:val="false"/>
          <w:smallCaps w:val="false"/>
          <w:sz w:val="20"/>
        </w:rPr>
        <w:t>s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maintain our listing on Nasdaq, we are required to comply with the Nasdaq requirements, which includes maintaining a minimum bid price of $1.00. On March 11, 2026, we received a notice from Nasdaq stating that we were not in compliance with Nasdaq Listing Rule 5550(a)(2), or the Minimum Bid Price Rule, because our common stock failed to maintain a minimum closing bid price of $1.00 for 30 consecutive business days. This notice had no immediate effect on the Nasdaq listing or trading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compliance period for the Minimum Bid Price Rule of 180 calendar days, or until September 7, 2026, in which to regain compliance, pursuant to Nasdaq Marketplace Rule 5810(c)(3)(A). If, at any time before that date the bid price of our common stock closes at $1.00 per share or more for a minimum of 10 consecutive business days, Nasdaq will notify us that we have achieved compliance with the Minimum Bid Price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do not achieve compliance with the Minimum Bid Price Rule during the initial 180 calendar day period, we may be eligible for an additional 180 calendar day compliance period. To qualify, we would be required to notify Nasdaq of our intent to cure the minimum bid price deficiency, which may include, if necessary, implementing a reverse stock split. However, if it appears to Nasdaq that we will not be able to cure the deficiency, or if we do not meet the other listing standards, Nasdaq could provide notice that the common stock will become subject to delisting. In the event we receive notice that our common stock is being delisted, Nasdaq rules permit us to appeal any delisting determination by Nasdaq to a Hearings Panel, or the Panel. We expect that our common stock would remain listed pending the Panel's decision. However, there can be no assurance that, if we do appeal the delisting determination by Nasdaq to the Panel, that such appeal would be successful, or that we will be able to regain compliance with the Minimum Bid Price Rule or maintain compliance with the other listing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fail to effect a reverse stock split, thus regaining compliance with the Minimum Bid Price Rule, our common stock may be delisted. Delisting from the Nasdaq Capital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 If our common stock is delisted, it may come within the definition of “penny stock” as defined in the Exchange Act and would be covered by Rule 15g-9 of the Exchange Act. Rule 15g-9 imposes additional sales practice requirements on broker-dealers who sell securities to persons other than established customers and accredited investors. For transactions covered by Rule 15g-9, the broker-dealer must make a special suitability determination for the purchaser and receive the purchaser’s written agreement to the transaction prior to the sale. Consequently, Rule 15g-9, if it were to become applicable, would affect the ability or willingness of broker-dealers to sell our securities, and accordingly would affect the ability of stockholders to sell their securities in the public market. These additional procedures could also limit our ability to raise additional capital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Sales of a substantial number of shares of our common stock in the public market by us or our stockholders could cause our stock</w:t>
      </w:r>
      <w:r>
        <w:rPr>
          <w:rFonts w:ascii="Times New Roman" w:hAnsi="Times New Roman"/>
          <w:caps w:val="false"/>
          <w:smallCaps w:val="false"/>
          <w:sz w:val="20"/>
        </w:rPr>
        <w:t> </w:t>
      </w:r>
      <w:r>
        <w:rPr>
          <w:rFonts w:ascii="Times New Roman" w:hAnsi="Times New Roman"/>
          <w:b/>
          <w:i/>
          <w:caps w:val="false"/>
          <w:smallCaps w:val="false"/>
          <w:sz w:val="20"/>
        </w:rPr>
        <w:t xml:space="preserve">price to fall.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we will continue to need additional capital in the future to continue to expand our business and our research and development activities, among other things, we may conduct additional equity offerings. Sales of a substantial number of shares of our common stock in the public market or our issuance of common stock warrants, or the perception that these sales or issuances might occur, could depress the market price of our common stock and could impair our ability to raise capital through the sale of additional equity securities. Our management is authorized to grant stock options and other equity-based awards to our employees, directors and consultants under our equity incentive plans. Grants under our equity incentive plans may also cause our stockholders to experience additional dilution, which could cause our stock price to fall. We may in the future issue additional shares of our common stock as consideration in mergers, acquisitions and other business development transactions. We are unable to predict the effect that sales may have on the prevailing market price of our common stock. All of our shares of common stock outstanding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do not intend to pay dividends on our common stock so any returns will be limited to the value of our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never declared or paid any cash dividends on our capital stock, and we are prohibited from doing so under the terms of the Loan Agreement. Regardless of the restrictions in the Loan Agreement or the terms of any potential future indebtedness, we anticipate that we will retain all available funds and any future earnings to support our operations and finance the growth and development of our business and, therefore, we do not expect to pay cash dividends in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authorizing the issuance of “blank check” preferred stock, the terms of which may be established and shares of which may be issued without stockholder approval;</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10"/>
        <w:gridCol w:w="43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limiting the removal of directors by the stockholders;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10"/>
        <w:gridCol w:w="25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staggered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prohibiting stockholder action by written consent, thereby requiring all stockholder actions to be taken at a meeting of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eliminating the ability of stockholders to call a special meeting of stockholders;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advance notice requirements for nominations for election to our Board of Directors or for proposing matters that can be acted upon at stockholder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Risks of a General 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Litigation may substantially increase our costs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been, are, and may in the future become, party to lawsuits including, without limitation, actions and proceedings in the ordinary course of business relating to our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 could have a material adverse effect on our consolidated operations, cash flows and financial position. Additionally, any such claims, whether or not successful, could damage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 markets have from time-to-time experienced significant price and volume fluctuations that have affected the market prices for the common stock of pharmaceutical companies. These broad market fluctuations may cause the market price of our common stock to decline. In addition, the market price of our common stock may vary significantly based on Talphera-specific events. In the past, securities-related class action litigation has often been brought against a company following a decline in the market price of its securities. This risk is especially relevant for us because biotechnology and biopharmaceutical companies often experience significant stock price volatility in connection with their investigational drug or medical device product candidate development programs and the FDA’s review of their 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is subject to inherent uncertainties, and an adverse result in such matters that may arise from time to time could have a material adverse effect on our business, results of operations, and financial condition. Please see Note 5, “Commitments and Contingencies—Litigation” to our unaudited condensed consolidated financial statements in this Quarterly Report on Form 10-Q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International trade policies, including tariffs, sanctions and trade barriers may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providing critical materials and manufactured product are located outside of the United States. The active ingredient for Niyad, nafamostat, is manufactured in Japan, and our Niyad product candidate is manufactured in China. We also rely on specialized laboratory equipment, supplies, materials, and precursor compounds, all or part of which we believe may be ultimately sourced from multiple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 carryforwards and certain other tax attributes may be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current law, federal net operating losses generated in tax years beginning prior to January 1, 2018 generally will expire 20 years after they were generated if not used prior thereto; federal net operating losses generated in tax years beginning after December 31, 2017, will carryforward indefinitely, but the deductibility of such federal net operating losses generally is limited to 80% of current year taxable income. Many states have similar laws. Our ability to use our federal and state net operating losses to offset potential future taxable income and related income taxes that would otherwise be due is dependent upon our generation of future taxable income before the expiration dates of the net operating losses, and we cannot predict with certainty when, or whether, we will generate sufficient taxable income to use all of our net operating losses. Accordingly, our federal and state net operating losses could expire unused and be unavailable to offset future income tax liabilities. In addition, under Sections 382 and 383 of the Internal Revenue Code of 1986, as amended, and corresponding provisions of state law,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We completed a new issuance of common stock totaling over 50% on September 10, 2025. This triggered an ownership change, causing our net operating losses and credits to be limited. We may experience additional ownership changes as a result of subsequent shifts in our stock ownership, some of which may be outside of our control. Furthermore, our ability to utilize net operating losses of companies that we have acquired or may acquire in the future may be subject to limitations.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effective tax rate may fluctuate, we may be adversely affected by changes in tax laws and regulations, and we may incur obligations in tax jurisdictions in excess of accrued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taxation in numerous U.S. federal, state, and local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changes in the mix of our profitability among the jurisdiction in which we operate, the results of examinations and audits of our tax filings, our inability to secure or sustain acceptable agreements with tax authorities, changes in accounting for income taxes and enactment of new tax laws or changes in the interpretation and application of existing tax laws. New income, sales, use or other tax laws, rules, regulations, or ordinances could be enacted at any time. For example, recent legislation commonly referred to as the One Big Beautiful Bill Act changes how companies can depreciate property, deduct interest expense, and deduct research and development costs. These changes did not have a significant impact on our income taxes in 2025; however, any of these factors could cause us to owe more or less income tax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Unregistered Sales of Equity Securities and Use of Proceeds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Defaults Upon Senior Securities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Mine Safety Disclosures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5. Other Information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5"/>
        <w:gridCol w:w="60"/>
        <w:gridCol w:w="6158"/>
        <w:gridCol w:w="60"/>
        <w:gridCol w:w="500"/>
        <w:gridCol w:w="60"/>
        <w:gridCol w:w="755"/>
        <w:gridCol w:w="60"/>
        <w:gridCol w:w="650"/>
        <w:gridCol w:w="60"/>
        <w:gridCol w:w="967"/>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5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Incorporation By Reference</w:t>
            </w:r>
          </w:p>
        </w:tc>
      </w:tr>
      <w:tr>
        <w:trPr/>
        <w:tc>
          <w:tcPr>
            <w:tcW w:w="875"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60" w:type="dxa"/>
            <w:tcBorders/>
            <w:vAlign w:val="center"/>
          </w:tcPr>
          <w:p>
            <w:pPr>
              <w:pStyle w:val="TableContents"/>
              <w:bidi w:val="0"/>
              <w:spacing w:before="0" w:after="283"/>
              <w:jc w:val="center"/>
              <w:rPr/>
            </w:pPr>
            <w:r>
              <w:rPr/>
              <w:t> </w:t>
            </w:r>
          </w:p>
        </w:tc>
        <w:tc>
          <w:tcPr>
            <w:tcW w:w="6158" w:type="dxa"/>
            <w:tcBorders>
              <w:bottom w:val="single" w:sz="2" w:space="0" w:color="000000"/>
            </w:tcBorders>
            <w:tcMar>
              <w:bottom w:w="28" w:type="dxa"/>
            </w:tcMar>
            <w:vAlign w:val="center"/>
          </w:tcPr>
          <w:p>
            <w:pPr>
              <w:pStyle w:val="TableContents"/>
              <w:bidi w:val="0"/>
              <w:spacing w:before="0" w:after="283"/>
              <w:jc w:val="center"/>
              <w:rPr>
                <w:b/>
              </w:rPr>
            </w:pPr>
            <w:r>
              <w:rPr>
                <w:b/>
              </w:rPr>
              <w:t xml:space="preserve">Exhibit Description </w:t>
            </w:r>
          </w:p>
        </w:tc>
        <w:tc>
          <w:tcPr>
            <w:tcW w:w="60" w:type="dxa"/>
            <w:tcBorders/>
            <w:vAlign w:val="center"/>
          </w:tcPr>
          <w:p>
            <w:pPr>
              <w:pStyle w:val="TableContents"/>
              <w:bidi w:val="0"/>
              <w:spacing w:before="0" w:after="283"/>
              <w:jc w:val="center"/>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w:t>
            </w:r>
            <w:r>
              <w:rPr>
                <w:rFonts w:ascii="Times New Roman" w:hAnsi="Times New Roman"/>
                <w:caps w:val="false"/>
                <w:smallCaps w:val="false"/>
                <w:sz w:val="20"/>
              </w:rPr>
              <w:br/>
            </w:r>
            <w:r>
              <w:rPr>
                <w:rFonts w:ascii="Times New Roman" w:hAnsi="Times New Roman"/>
                <w:b/>
                <w:caps w:val="false"/>
                <w:smallCaps w:val="false"/>
                <w:sz w:val="20"/>
              </w:rPr>
              <w:t>File</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Filing</w:t>
            </w:r>
            <w:r>
              <w:rPr>
                <w:rFonts w:ascii="Times New Roman" w:hAnsi="Times New Roman"/>
                <w:caps w:val="false"/>
                <w:smallCaps w:val="false"/>
                <w:sz w:val="20"/>
              </w:rPr>
              <w:t> </w:t>
            </w:r>
            <w:r>
              <w:rPr>
                <w:rFonts w:ascii="Times New Roman" w:hAnsi="Times New Roman"/>
                <w:b/>
                <w:caps w:val="false"/>
                <w:smallCaps w:val="false"/>
                <w:sz w:val="20"/>
              </w:rPr>
              <w:t>Date</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80" w:right="0" w:hanging="0"/>
              <w:jc w:val="left"/>
              <w:rPr/>
            </w:pPr>
            <w:hyperlink r:id="rId2">
              <w:r>
                <w:rPr>
                  <w:rStyle w:val="InternetLink"/>
                  <w:rFonts w:ascii="Times New Roman" w:hAnsi="Times New Roman"/>
                  <w:caps w:val="false"/>
                  <w:smallCaps w:val="false"/>
                  <w:sz w:val="20"/>
                </w:rPr>
                <w:t>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02/18/2011</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80" w:right="0" w:hanging="0"/>
              <w:jc w:val="left"/>
              <w:rPr/>
            </w:pPr>
            <w:hyperlink r:id="rId3">
              <w:r>
                <w:rPr>
                  <w:rStyle w:val="InternetLink"/>
                  <w:rFonts w:ascii="Times New Roman" w:hAnsi="Times New Roman"/>
                  <w:caps w:val="false"/>
                  <w:smallCaps w:val="false"/>
                  <w:sz w:val="20"/>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80" w:right="0" w:hanging="0"/>
              <w:jc w:val="left"/>
              <w:rPr/>
            </w:pPr>
            <w:hyperlink r:id="rId4">
              <w:r>
                <w:rPr>
                  <w:rStyle w:val="InternetLink"/>
                  <w:rFonts w:ascii="Times New Roman" w:hAnsi="Times New Roman"/>
                  <w:caps w:val="false"/>
                  <w:smallCaps w:val="false"/>
                  <w:sz w:val="20"/>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06/25/2019</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80" w:right="0" w:hanging="0"/>
              <w:jc w:val="left"/>
              <w:rPr/>
            </w:pPr>
            <w:hyperlink r:id="rId5">
              <w:r>
                <w:rPr>
                  <w:rStyle w:val="InternetLink"/>
                  <w:rFonts w:ascii="Times New Roman" w:hAnsi="Times New Roman"/>
                  <w:caps w:val="false"/>
                  <w:smallCaps w:val="false"/>
                  <w:sz w:val="20"/>
                </w:rPr>
                <w:t>Certificate of Amendment of Amended and Restated Certificate of Incorporation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10/25/2022</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80" w:right="0" w:hanging="0"/>
              <w:jc w:val="left"/>
              <w:rPr/>
            </w:pPr>
            <w:hyperlink r:id="rId6">
              <w:r>
                <w:rPr>
                  <w:rStyle w:val="InternetLink"/>
                  <w:rFonts w:ascii="Times New Roman" w:hAnsi="Times New Roman"/>
                  <w:caps w:val="false"/>
                  <w:smallCaps w:val="false"/>
                  <w:sz w:val="20"/>
                </w:rPr>
                <w:t>Amended and Restated Bylaws of the Registrant.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001-35068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01/09/2024</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120" w:right="0" w:hanging="0"/>
              <w:jc w:val="left"/>
              <w:rPr/>
            </w:pPr>
            <w:hyperlink w:anchor="ex_955984.htm">
              <w:r>
                <w:rPr>
                  <w:rStyle w:val="InternetLink"/>
                  <w:rFonts w:ascii="Times New Roman" w:hAnsi="Times New Roman"/>
                  <w:caps w:val="false"/>
                  <w:smallCaps w:val="false"/>
                  <w:sz w:val="20"/>
                </w:rPr>
                <w:t>Certification of Principal Executive Officer pursuant to Rules 13a-14(a) and 15d-14(a) promulgated under the Securities Exchange Act of 1934, as amended.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120" w:right="0" w:hanging="0"/>
              <w:jc w:val="left"/>
              <w:rPr/>
            </w:pPr>
            <w:hyperlink w:anchor="ex_955985.htm">
              <w:r>
                <w:rPr>
                  <w:rStyle w:val="InternetLink"/>
                  <w:rFonts w:ascii="Times New Roman" w:hAnsi="Times New Roman"/>
                  <w:caps w:val="false"/>
                  <w:smallCaps w:val="false"/>
                  <w:sz w:val="20"/>
                </w:rPr>
                <w:t>Certification of Principal Financial and Accounting Officer pursuant to Rules 13a-14(a) and 15d-14(a) promulgated under the Securities Exchange Act of 1934, as amended.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0"/>
              <w:ind w:left="120" w:right="0" w:hanging="0"/>
              <w:jc w:val="left"/>
              <w:rPr/>
            </w:pPr>
            <w:hyperlink w:anchor="ex_955986.htm">
              <w:r>
                <w:rPr>
                  <w:rStyle w:val="InternetLink"/>
                  <w:rFonts w:ascii="Times New Roman" w:hAnsi="Times New Roman"/>
                  <w:caps w:val="false"/>
                  <w:smallCaps w:val="false"/>
                  <w:sz w:val="20"/>
                </w:rPr>
                <w:t>Certifications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right"/>
              <w:rPr/>
            </w:pPr>
            <w:r>
              <w:rPr/>
              <w:t>101</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The following financial information from Talphera, Inc.’s Quarterly Report on Form 10-Q for the quarter ended March 31, 2026, formatted in Inline XBRL (Extensible Business Reporting Language): (i) the Condensed Consolidated Balance Sheets (unaudited), (ii) the Condensed Consolidated Statements of Operations (unaudited), (iii) the Condensed Consolidated Statements of Stockholders’ Equity (unaudited), (iv) the Condensed Consolidated Statements of Cash Flows (unaudited), and (v) the Notes to Condensed Consolidated Financial Statements (unaudited).</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right"/>
              <w:rPr/>
            </w:pPr>
            <w:r>
              <w:rPr/>
              <w:t>104</w:t>
            </w:r>
          </w:p>
        </w:tc>
        <w:tc>
          <w:tcPr>
            <w:tcW w:w="60" w:type="dxa"/>
            <w:tcBorders/>
            <w:vAlign w:val="center"/>
          </w:tcPr>
          <w:p>
            <w:pPr>
              <w:pStyle w:val="TableContents"/>
              <w:bidi w:val="0"/>
              <w:spacing w:before="0" w:after="283"/>
              <w:jc w:val="left"/>
              <w:rPr/>
            </w:pPr>
            <w:r>
              <w:rPr/>
              <w:t> </w:t>
            </w:r>
          </w:p>
        </w:tc>
        <w:tc>
          <w:tcPr>
            <w:tcW w:w="6158" w:type="dxa"/>
            <w:tcBorders/>
            <w:vAlign w:val="center"/>
          </w:tcPr>
          <w:p>
            <w:pPr>
              <w:pStyle w:val="TableContents"/>
              <w:bidi w:val="0"/>
              <w:spacing w:before="0" w:after="283"/>
              <w:jc w:val="left"/>
              <w:rPr/>
            </w:pPr>
            <w:r>
              <w:rPr/>
              <w:t>Cover Page Interactive Data File (embedded within the Inline XBRL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tbl>
      <w:tblPr>
        <w:tblW w:w="7300" w:type="dxa"/>
        <w:jc w:val="left"/>
        <w:tblInd w:w="0" w:type="dxa"/>
        <w:tblLayout w:type="fixed"/>
        <w:tblCellMar>
          <w:top w:w="0" w:type="dxa"/>
          <w:left w:w="0" w:type="dxa"/>
          <w:bottom w:w="0" w:type="dxa"/>
          <w:right w:w="0" w:type="dxa"/>
        </w:tblCellMar>
      </w:tblPr>
      <w:tblGrid>
        <w:gridCol w:w="1640"/>
        <w:gridCol w:w="60"/>
        <w:gridCol w:w="560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13, 2026</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Talphera, Inc.</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Raffi Asadorian</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Raffi Asadorian</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(Duly</w:t>
            </w:r>
            <w:r>
              <w:rPr>
                <w:rFonts w:ascii="Times New Roman" w:hAnsi="Times New Roman"/>
                <w:caps w:val="false"/>
                <w:smallCaps w:val="false"/>
                <w:sz w:val="20"/>
              </w:rPr>
              <w:t> </w:t>
            </w:r>
            <w:r>
              <w:rPr>
                <w:rFonts w:ascii="Times New Roman" w:hAnsi="Times New Roman"/>
                <w:b/>
                <w:caps w:val="false"/>
                <w:smallCaps w:val="false"/>
                <w:sz w:val="20"/>
              </w:rPr>
              <w:t>Authorized</w:t>
            </w:r>
            <w:r>
              <w:rPr>
                <w:rFonts w:ascii="Times New Roman" w:hAnsi="Times New Roman"/>
                <w:caps w:val="false"/>
                <w:smallCaps w:val="false"/>
                <w:sz w:val="20"/>
              </w:rPr>
              <w:t> </w:t>
            </w:r>
            <w:r>
              <w:rPr>
                <w:rFonts w:ascii="Times New Roman" w:hAnsi="Times New Roman"/>
                <w:b/>
                <w:caps w:val="false"/>
                <w:smallCaps w:val="false"/>
                <w:sz w:val="20"/>
              </w:rPr>
              <w:t>and</w:t>
            </w:r>
            <w:r>
              <w:rPr>
                <w:rFonts w:ascii="Times New Roman" w:hAnsi="Times New Roman"/>
                <w:caps w:val="false"/>
                <w:smallCaps w:val="false"/>
                <w:sz w:val="20"/>
              </w:rPr>
              <w:t> </w:t>
            </w:r>
            <w:r>
              <w:rPr>
                <w:rFonts w:ascii="Times New Roman" w:hAnsi="Times New Roman"/>
                <w:b/>
                <w:caps w:val="false"/>
                <w:smallCaps w:val="false"/>
                <w:sz w:val="20"/>
              </w:rPr>
              <w:t>Principal</w:t>
            </w:r>
            <w:r>
              <w:rPr>
                <w:rFonts w:ascii="Times New Roman" w:hAnsi="Times New Roman"/>
                <w:caps w:val="false"/>
                <w:smallCaps w:val="false"/>
                <w:sz w:val="20"/>
              </w:rPr>
              <w:t> </w:t>
            </w:r>
            <w:r>
              <w:rPr>
                <w:rFonts w:ascii="Times New Roman" w:hAnsi="Times New Roman"/>
                <w:b/>
                <w:caps w:val="false"/>
                <w:smallCaps w:val="false"/>
                <w:sz w:val="20"/>
              </w:rPr>
              <w:t>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50</w:t>
      </w:r>
    </w:p>
    <w:p>
      <w:pPr>
        <w:pStyle w:val="TextBody"/>
        <w:bidi w:val="0"/>
        <w:spacing w:before="0" w:after="0"/>
        <w:ind w:left="0" w:right="0" w:hanging="0"/>
        <w:jc w:val="right"/>
        <w:rPr>
          <w:rFonts w:ascii="Times New Roman" w:hAnsi="Times New Roman"/>
          <w:b/>
          <w:caps w:val="false"/>
          <w:smallCaps w:val="false"/>
          <w:sz w:val="20"/>
        </w:rPr>
      </w:pPr>
      <w:bookmarkStart w:id="2" w:name="ex_955984.htm"/>
      <w:bookmarkStart w:id="3" w:name="ksex_955984"/>
      <w:bookmarkEnd w:id="2"/>
      <w:bookmarkEnd w:id="3"/>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Vincent J. Angotti,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Talphera,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13, 2026</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345"/>
      </w:tblGrid>
      <w:tr>
        <w:trPr/>
        <w:tc>
          <w:tcPr>
            <w:tcW w:w="2345" w:type="dxa"/>
            <w:tcBorders/>
            <w:vAlign w:val="center"/>
          </w:tcPr>
          <w:p>
            <w:pPr>
              <w:pStyle w:val="TableContents"/>
              <w:bidi w:val="0"/>
              <w:spacing w:before="0" w:after="283"/>
              <w:jc w:val="left"/>
              <w:rPr/>
            </w:pPr>
            <w:r>
              <w:rPr/>
              <w:t> </w:t>
            </w:r>
          </w:p>
        </w:tc>
      </w:tr>
      <w:tr>
        <w:trPr/>
        <w:tc>
          <w:tcPr>
            <w:tcW w:w="23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Vincent J. Angotti</w:t>
            </w:r>
          </w:p>
        </w:tc>
      </w:tr>
      <w:tr>
        <w:trPr/>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J. Angotti</w:t>
            </w:r>
          </w:p>
        </w:tc>
      </w:tr>
      <w:tr>
        <w:trPr/>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955985.htm"/>
      <w:bookmarkStart w:id="5" w:name="ksex_955985"/>
      <w:bookmarkEnd w:id="4"/>
      <w:bookmarkEnd w:id="5"/>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Raffi Asadorian,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Talphera,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13, 2026</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3635"/>
      </w:tblGrid>
      <w:tr>
        <w:trPr/>
        <w:tc>
          <w:tcPr>
            <w:tcW w:w="3635" w:type="dxa"/>
            <w:tcBorders/>
            <w:vAlign w:val="center"/>
          </w:tcPr>
          <w:p>
            <w:pPr>
              <w:pStyle w:val="TableContents"/>
              <w:bidi w:val="0"/>
              <w:spacing w:before="0" w:after="283"/>
              <w:jc w:val="left"/>
              <w:rPr/>
            </w:pPr>
            <w:r>
              <w:rPr/>
              <w:t> </w:t>
            </w:r>
          </w:p>
        </w:tc>
      </w:tr>
      <w:tr>
        <w:trPr/>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Raffi Asadorian</w:t>
            </w:r>
          </w:p>
        </w:tc>
      </w:tr>
      <w:tr>
        <w:trPr/>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Raffi Asadorian</w:t>
            </w:r>
          </w:p>
        </w:tc>
      </w:tr>
      <w:tr>
        <w:trPr/>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 w:name="ex_955986.htm"/>
      <w:bookmarkStart w:id="7" w:name="ksex_955986"/>
      <w:bookmarkEnd w:id="6"/>
      <w:bookmarkEnd w:id="7"/>
      <w:r>
        <w:rPr>
          <w:rFonts w:ascii="Times New Roman" w:hAnsi="Times New Roman"/>
          <w:b/>
          <w:caps w:val="false"/>
          <w:smallCaps w:val="false"/>
          <w:sz w:val="20"/>
        </w:rPr>
        <w:t xml:space="preserve">Exhibit 32.1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Vincent J. Angotti, Chief Executive Officer of Talphera, Inc. (the “Company”), and Raffi Asadorian, Chief Financial Officer of the Company, each hereby certifies that, to the best of his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10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Quarterly Report on Form 10-Q for the period ended March 31, 2026, to which this Certification is attached as Exhibit 32.1 (the “Periodic Report”) fully complies with the requirements of Section 13(a) or Section 15(d)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undersigned has set his hands hereto as of the 13th day of May 2026.</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940"/>
        <w:gridCol w:w="60"/>
        <w:gridCol w:w="200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Vincent J. Angotti</w:t>
            </w:r>
          </w:p>
        </w:tc>
        <w:tc>
          <w:tcPr>
            <w:tcW w:w="60" w:type="dxa"/>
            <w:tcBorders/>
            <w:vAlign w:val="center"/>
          </w:tcPr>
          <w:p>
            <w:pPr>
              <w:pStyle w:val="TableContents"/>
              <w:bidi w:val="0"/>
              <w:spacing w:before="0" w:after="283"/>
              <w:jc w:val="left"/>
              <w:rPr/>
            </w:pPr>
            <w:r>
              <w:rPr/>
              <w:t> </w:t>
            </w:r>
          </w:p>
        </w:tc>
        <w:tc>
          <w:tcPr>
            <w:tcW w:w="20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Raffi Asadorian</w:t>
            </w:r>
          </w:p>
        </w:tc>
      </w:tr>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Vincent J. Angotti</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Raffi Asadorian</w:t>
            </w:r>
          </w:p>
        </w:tc>
      </w:tr>
      <w:tr>
        <w:trPr/>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Form 10-Q to which it relates, is not deemed filed with the Securities and Exchange Commission and is not to be incorporated by reference into any filing of Talphera,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7925/000119312511040233/dex31.htm" TargetMode="External"/><Relationship Id="rId3" Type="http://schemas.openxmlformats.org/officeDocument/2006/relationships/hyperlink" Target="http://www.sec.gov/Archives/edgar/data/1427925/000143774924000938/ex_613231.htm" TargetMode="External"/><Relationship Id="rId4" Type="http://schemas.openxmlformats.org/officeDocument/2006/relationships/hyperlink" Target="http://www.sec.gov/Archives/edgar/data/1427925/000143774919012706/ex_148566.htm" TargetMode="External"/><Relationship Id="rId5" Type="http://schemas.openxmlformats.org/officeDocument/2006/relationships/hyperlink" Target="http://www.sec.gov/Archives/edgar/data/1427925/000143774922024708/ex_436724.htm" TargetMode="External"/><Relationship Id="rId6" Type="http://schemas.openxmlformats.org/officeDocument/2006/relationships/hyperlink" Target="http://www.sec.gov/Archives/edgar/data/1427925/000143774924000938/ex_6132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31515</Words>
  <Characters>176701</Characters>
  <CharactersWithSpaces>209893</CharactersWithSpaces>
  <Paragraphs>4683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