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Angotti Vincent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TALPHERA,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1850 GATEWAY DRIVE, SUITE 175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TALPHERA,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TLPH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03/13/2026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213,310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800,705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Talphera (the "Issuer") entered into a securities purchase agreement with the Reporting Person and certain other institutional investors (the "PIPE"). The Reporting Person purchased shares in the closing of the third tranche of the PIPE conducted by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non-reportable acquisition of 10,000 shares of Common Stock through the Company's Employee Stock Purchase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Martha Adler, Attorney-in- </w:t>
      </w:r>
      <w:r>
        <w:rPr>
          <w:rFonts w:ascii="Times New Roman" w:cs="Times New Roman" w:eastAsia="Times New Roman" w:hAnsi="Times New Roman"/>
          <w:sz w:val="34"/>
          <w:szCs w:val="34"/>
          <w:color w:val="0000FF"/>
          <w:vertAlign w:val="subscript"/>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0225" TargetMode="External"/><Relationship Id="rId14" Type="http://schemas.openxmlformats.org/officeDocument/2006/relationships/hyperlink" Target="http://www.sec.gov/cgi-bin/browse-edgar?action=getcompany&amp;CIK=00014279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2026-03-25T19:00:09Z</dcterms:created>
  <dcterms:modified xsi:type="dcterms:W3CDTF">2026-03-25T19:00:09Z</dcterms:modified>
</cp:coreProperties>
</file>